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9AA" w:rsidRDefault="0020708D">
      <w:pPr>
        <w:autoSpaceDE/>
        <w:autoSpaceDN/>
        <w:adjustRightInd/>
        <w:spacing w:before="99" w:after="0" w:line="240" w:lineRule="auto"/>
        <w:ind w:right="-20"/>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10681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w:t>
      </w:r>
    </w:p>
    <w:p w:rsidR="004659AA" w:rsidRDefault="0076118F">
      <w:pPr>
        <w:autoSpaceDE/>
        <w:autoSpaceDN/>
        <w:adjustRightInd/>
        <w:spacing w:before="4" w:after="0" w:line="170" w:lineRule="exact"/>
        <w:rPr>
          <w:rFonts w:eastAsia="Times New Roman" w:cs="Times New Roman"/>
          <w:sz w:val="17"/>
          <w:szCs w:val="24"/>
        </w:rPr>
      </w:pPr>
    </w:p>
    <w:p w:rsidR="004659AA" w:rsidRDefault="0020708D">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4659AA" w:rsidRDefault="0076118F">
      <w:pPr>
        <w:autoSpaceDE/>
        <w:autoSpaceDN/>
        <w:adjustRightInd/>
        <w:spacing w:after="0" w:line="200" w:lineRule="exact"/>
        <w:rPr>
          <w:rFonts w:eastAsia="Times New Roman" w:cs="Times New Roman"/>
          <w:sz w:val="28"/>
          <w:szCs w:val="24"/>
        </w:rPr>
      </w:pPr>
    </w:p>
    <w:p w:rsidR="004659AA" w:rsidRDefault="0020708D">
      <w:pPr>
        <w:autoSpaceDE/>
        <w:autoSpaceDN/>
        <w:adjustRightInd/>
        <w:spacing w:before="120" w:after="120" w:line="20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Puma Biotechnology Reports Second Quarter 2019 Financial Results </w:t>
      </w:r>
    </w:p>
    <w:p w:rsidR="004659AA" w:rsidRDefault="0076118F">
      <w:pPr>
        <w:autoSpaceDE/>
        <w:autoSpaceDN/>
        <w:adjustRightInd/>
        <w:spacing w:before="120" w:after="0" w:line="200" w:lineRule="exact"/>
        <w:jc w:val="center"/>
        <w:rPr>
          <w:rFonts w:ascii="Times New Roman" w:eastAsia="Times New Roman" w:hAnsi="Times New Roman" w:cs="Times New Roman"/>
          <w:b/>
          <w:sz w:val="24"/>
          <w:szCs w:val="24"/>
        </w:rPr>
      </w:pPr>
    </w:p>
    <w:p w:rsidR="004659AA" w:rsidRDefault="0020708D">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b/>
        </w:rPr>
        <w:t>LOS</w:t>
      </w:r>
      <w:r>
        <w:rPr>
          <w:rFonts w:ascii="Times New Roman" w:eastAsia="Times New Roman" w:hAnsi="Times New Roman" w:cs="Times New Roman"/>
          <w:b/>
          <w:spacing w:val="1"/>
        </w:rPr>
        <w:t xml:space="preserve"> </w:t>
      </w:r>
      <w:r>
        <w:rPr>
          <w:rFonts w:ascii="Times New Roman" w:eastAsia="Times New Roman" w:hAnsi="Times New Roman" w:cs="Times New Roman"/>
          <w:b/>
        </w:rPr>
        <w:t>A</w:t>
      </w:r>
      <w:r>
        <w:rPr>
          <w:rFonts w:ascii="Times New Roman" w:eastAsia="Times New Roman" w:hAnsi="Times New Roman" w:cs="Times New Roman"/>
          <w:b/>
          <w:spacing w:val="-1"/>
        </w:rPr>
        <w:t>N</w:t>
      </w:r>
      <w:r>
        <w:rPr>
          <w:rFonts w:ascii="Times New Roman" w:eastAsia="Times New Roman" w:hAnsi="Times New Roman" w:cs="Times New Roman"/>
          <w:b/>
        </w:rPr>
        <w:t>GEL</w:t>
      </w:r>
      <w:r>
        <w:rPr>
          <w:rFonts w:ascii="Times New Roman" w:eastAsia="Times New Roman" w:hAnsi="Times New Roman" w:cs="Times New Roman"/>
          <w:b/>
          <w:spacing w:val="-1"/>
        </w:rPr>
        <w:t>E</w:t>
      </w:r>
      <w:r>
        <w:rPr>
          <w:rFonts w:ascii="Times New Roman" w:eastAsia="Times New Roman" w:hAnsi="Times New Roman" w:cs="Times New Roman"/>
          <w:b/>
        </w:rPr>
        <w:t>S,</w:t>
      </w:r>
      <w:r>
        <w:rPr>
          <w:rFonts w:ascii="Times New Roman" w:eastAsia="Times New Roman" w:hAnsi="Times New Roman" w:cs="Times New Roman"/>
          <w:b/>
          <w:spacing w:val="2"/>
        </w:rPr>
        <w:t xml:space="preserve"> </w:t>
      </w:r>
      <w:r>
        <w:rPr>
          <w:rFonts w:ascii="Times New Roman" w:eastAsia="Times New Roman" w:hAnsi="Times New Roman" w:cs="Times New Roman"/>
          <w:b/>
        </w:rPr>
        <w:t>Cali</w:t>
      </w:r>
      <w:r>
        <w:rPr>
          <w:rFonts w:ascii="Times New Roman" w:eastAsia="Times New Roman" w:hAnsi="Times New Roman" w:cs="Times New Roman"/>
          <w:b/>
          <w:spacing w:val="1"/>
        </w:rPr>
        <w:t>f</w:t>
      </w:r>
      <w:r w:rsidRPr="00A4534E">
        <w:rPr>
          <w:rFonts w:ascii="Times New Roman" w:eastAsia="Times New Roman" w:hAnsi="Times New Roman" w:cs="Times New Roman"/>
          <w:b/>
        </w:rPr>
        <w:t>.,</w:t>
      </w:r>
      <w:r w:rsidRPr="00A4534E">
        <w:rPr>
          <w:rFonts w:ascii="Times New Roman" w:eastAsia="Times New Roman" w:hAnsi="Times New Roman" w:cs="Times New Roman"/>
          <w:b/>
          <w:spacing w:val="1"/>
        </w:rPr>
        <w:t xml:space="preserve"> </w:t>
      </w:r>
      <w:r w:rsidRPr="00893C6E">
        <w:rPr>
          <w:rFonts w:ascii="Times New Roman" w:eastAsia="Times New Roman" w:hAnsi="Times New Roman" w:cs="Times New Roman"/>
          <w:b/>
        </w:rPr>
        <w:t>Aug. 8</w:t>
      </w:r>
      <w:r w:rsidRPr="00B047C0">
        <w:rPr>
          <w:rFonts w:ascii="Times New Roman" w:eastAsia="Times New Roman" w:hAnsi="Times New Roman" w:cs="Times New Roman"/>
          <w:b/>
        </w:rPr>
        <w:t>,</w:t>
      </w:r>
      <w:r>
        <w:rPr>
          <w:rFonts w:ascii="Times New Roman" w:eastAsia="Times New Roman" w:hAnsi="Times New Roman" w:cs="Times New Roman"/>
          <w:b/>
        </w:rPr>
        <w:t xml:space="preserve"> 2019</w:t>
      </w:r>
      <w:r>
        <w:rPr>
          <w:rFonts w:ascii="Times New Roman" w:eastAsia="Times New Roman" w:hAnsi="Times New Roman" w:cs="Times New Roman"/>
          <w:b/>
          <w:spacing w:val="1"/>
        </w:rPr>
        <w:t xml:space="preserve"> </w:t>
      </w:r>
      <w:r>
        <w:rPr>
          <w:rFonts w:ascii="Symbol" w:eastAsia="Symbol" w:hAnsi="Symbol" w:cs="Times New Roman"/>
        </w:rPr>
        <w:sym w:font="Symbol" w:char="F02D"/>
      </w:r>
      <w:r>
        <w:rPr>
          <w:rFonts w:ascii="Times New Roman" w:eastAsia="Times New Roman" w:hAnsi="Times New Roman" w:cs="Times New Roman"/>
        </w:rPr>
        <w:t xml:space="preserve"> Pu</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Biotechnology,</w:t>
      </w:r>
      <w:r>
        <w:rPr>
          <w:rFonts w:ascii="Times New Roman" w:eastAsia="Times New Roman" w:hAnsi="Times New Roman" w:cs="Times New Roman"/>
          <w:spacing w:val="1"/>
        </w:rPr>
        <w:t xml:space="preserve"> </w:t>
      </w:r>
      <w:r>
        <w:rPr>
          <w:rFonts w:ascii="Times New Roman" w:eastAsia="Times New Roman" w:hAnsi="Times New Roman" w:cs="Times New Roman"/>
        </w:rPr>
        <w:t>Inc</w:t>
      </w:r>
      <w:r>
        <w:rPr>
          <w:rFonts w:ascii="Times New Roman" w:eastAsia="Times New Roman" w:hAnsi="Times New Roman" w:cs="Times New Roman"/>
          <w:spacing w:val="-1"/>
        </w:rPr>
        <w:t>. (NASDAQ: PBYI)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 biophar</w:t>
      </w:r>
      <w:r>
        <w:rPr>
          <w:rFonts w:ascii="Times New Roman" w:eastAsia="Times New Roman" w:hAnsi="Times New Roman" w:cs="Times New Roman"/>
          <w:spacing w:val="-1"/>
        </w:rPr>
        <w:t>m</w:t>
      </w:r>
      <w:r>
        <w:rPr>
          <w:rFonts w:ascii="Times New Roman" w:eastAsia="Times New Roman" w:hAnsi="Times New Roman" w:cs="Times New Roman"/>
        </w:rPr>
        <w:t>aceut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company, </w:t>
      </w:r>
      <w:r>
        <w:rPr>
          <w:rFonts w:ascii="Times New Roman" w:eastAsia="Times New Roman" w:hAnsi="Times New Roman" w:cs="Times New Roman"/>
          <w:lang w:val="en-GB"/>
        </w:rPr>
        <w:t xml:space="preserve">announced financial results for the second quarter ended June 30, 2019. </w:t>
      </w:r>
      <w:r>
        <w:rPr>
          <w:rFonts w:ascii="Times New Roman" w:eastAsia="Times New Roman" w:hAnsi="Times New Roman" w:cs="Times New Roman"/>
        </w:rPr>
        <w:t>Unless otherwise stated, all comparisons are for the second quarter</w:t>
      </w:r>
      <w:r>
        <w:rPr>
          <w:rFonts w:ascii="Times New Roman" w:eastAsia="Times New Roman" w:hAnsi="Times New Roman" w:cs="Times New Roman"/>
          <w:lang w:val="en-GB"/>
        </w:rPr>
        <w:t xml:space="preserve"> 2019</w:t>
      </w:r>
      <w:r>
        <w:rPr>
          <w:rFonts w:ascii="Times New Roman" w:eastAsia="Times New Roman" w:hAnsi="Times New Roman" w:cs="Times New Roman"/>
        </w:rPr>
        <w:t xml:space="preserve"> compared to the second quarter of </w:t>
      </w:r>
      <w:r>
        <w:rPr>
          <w:rFonts w:ascii="Times New Roman" w:eastAsia="Times New Roman" w:hAnsi="Times New Roman" w:cs="Times New Roman"/>
          <w:lang w:val="en-GB"/>
        </w:rPr>
        <w:t>2018</w:t>
      </w:r>
      <w:r>
        <w:rPr>
          <w:rFonts w:ascii="Times New Roman" w:eastAsia="Times New Roman" w:hAnsi="Times New Roman" w:cs="Times New Roman"/>
        </w:rPr>
        <w:t>.</w:t>
      </w:r>
    </w:p>
    <w:p w:rsidR="004659AA" w:rsidRDefault="0076118F">
      <w:pPr>
        <w:autoSpaceDE/>
        <w:autoSpaceDN/>
        <w:adjustRightInd/>
        <w:spacing w:after="0" w:line="240" w:lineRule="auto"/>
        <w:jc w:val="both"/>
        <w:rPr>
          <w:rFonts w:ascii="Times New Roman" w:eastAsia="Times New Roman" w:hAnsi="Times New Roman" w:cs="Times New Roman"/>
        </w:rPr>
      </w:pPr>
    </w:p>
    <w:p w:rsidR="004659AA" w:rsidRDefault="0020708D">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rPr>
        <w:t>Product revenue, net consists entirely of sales revenue from NERLYNX®, Puma’s first commercial product. Net NERLYNX revenue in the second quarter of 2019 was $53.8 million, compared to net NERLYNX revenue of $50.8 million in the second quarter of 2018. Net NERLYNX revenue in the first six months of 2019 was $99.4 million, compared to net NERLYNX revenue of $86.8 million in the first six months of 2018.</w:t>
      </w:r>
    </w:p>
    <w:p w:rsidR="004659AA" w:rsidRDefault="0076118F">
      <w:pPr>
        <w:autoSpaceDE/>
        <w:autoSpaceDN/>
        <w:adjustRightInd/>
        <w:spacing w:after="0" w:line="240" w:lineRule="auto"/>
        <w:jc w:val="both"/>
        <w:rPr>
          <w:rFonts w:ascii="Times New Roman" w:eastAsia="Times New Roman" w:hAnsi="Times New Roman" w:cs="Times New Roman"/>
        </w:rPr>
      </w:pPr>
    </w:p>
    <w:p w:rsidR="004659AA" w:rsidRDefault="0020708D">
      <w:pPr>
        <w:autoSpaceDE/>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 xml:space="preserve">Puma reported a net loss of $37.4 million, or $0.97 per share, for the second quarter of 2019, compared to a net loss of $44.3 million, or $1.17 per share, for the second quarter of 2018. </w:t>
      </w:r>
      <w:r w:rsidRPr="00AC740D">
        <w:rPr>
          <w:rFonts w:ascii="Times New Roman" w:eastAsia="Times New Roman" w:hAnsi="Times New Roman" w:cs="Times New Roman"/>
          <w:lang w:val="en-GB"/>
        </w:rPr>
        <w:t>Net loss for the first six months of 201</w:t>
      </w:r>
      <w:r>
        <w:rPr>
          <w:rFonts w:ascii="Times New Roman" w:eastAsia="Times New Roman" w:hAnsi="Times New Roman" w:cs="Times New Roman"/>
          <w:lang w:val="en-GB"/>
        </w:rPr>
        <w:t>9</w:t>
      </w:r>
      <w:r w:rsidRPr="00AC740D">
        <w:rPr>
          <w:rFonts w:ascii="Times New Roman" w:eastAsia="Times New Roman" w:hAnsi="Times New Roman" w:cs="Times New Roman"/>
          <w:lang w:val="en-GB"/>
        </w:rPr>
        <w:t xml:space="preserve"> was $</w:t>
      </w:r>
      <w:r>
        <w:rPr>
          <w:rFonts w:ascii="Times New Roman" w:eastAsia="Times New Roman" w:hAnsi="Times New Roman" w:cs="Times New Roman"/>
          <w:lang w:val="en-GB"/>
        </w:rPr>
        <w:t>47.5</w:t>
      </w:r>
      <w:r w:rsidRPr="00AC740D">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1.23</w:t>
      </w:r>
      <w:r w:rsidRPr="00AC740D">
        <w:rPr>
          <w:rFonts w:ascii="Times New Roman" w:eastAsia="Times New Roman" w:hAnsi="Times New Roman" w:cs="Times New Roman"/>
          <w:lang w:val="en-GB"/>
        </w:rPr>
        <w:t xml:space="preserve"> per share, compared to </w:t>
      </w:r>
      <w:r w:rsidR="00FC1FC2">
        <w:rPr>
          <w:rFonts w:ascii="Times New Roman" w:eastAsia="Times New Roman" w:hAnsi="Times New Roman" w:cs="Times New Roman"/>
          <w:lang w:val="en-GB"/>
        </w:rPr>
        <w:t xml:space="preserve">a net loss of </w:t>
      </w:r>
      <w:r w:rsidRPr="00AC740D">
        <w:rPr>
          <w:rFonts w:ascii="Times New Roman" w:eastAsia="Times New Roman" w:hAnsi="Times New Roman" w:cs="Times New Roman"/>
          <w:lang w:val="en-GB"/>
        </w:rPr>
        <w:t>$</w:t>
      </w:r>
      <w:r>
        <w:rPr>
          <w:rFonts w:ascii="Times New Roman" w:eastAsia="Times New Roman" w:hAnsi="Times New Roman" w:cs="Times New Roman"/>
          <w:lang w:val="en-GB"/>
        </w:rPr>
        <w:t>68.7</w:t>
      </w:r>
      <w:r w:rsidRPr="00AC740D">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1.82</w:t>
      </w:r>
      <w:r w:rsidRPr="00AC740D">
        <w:rPr>
          <w:rFonts w:ascii="Times New Roman" w:eastAsia="Times New Roman" w:hAnsi="Times New Roman" w:cs="Times New Roman"/>
          <w:lang w:val="en-GB"/>
        </w:rPr>
        <w:t xml:space="preserve"> per share, for the first six months of 201</w:t>
      </w:r>
      <w:r>
        <w:rPr>
          <w:rFonts w:ascii="Times New Roman" w:eastAsia="Times New Roman" w:hAnsi="Times New Roman" w:cs="Times New Roman"/>
          <w:lang w:val="en-GB"/>
        </w:rPr>
        <w:t>8</w:t>
      </w:r>
      <w:r w:rsidRPr="00AC740D">
        <w:rPr>
          <w:rFonts w:ascii="Times New Roman" w:eastAsia="Times New Roman" w:hAnsi="Times New Roman" w:cs="Times New Roman"/>
          <w:lang w:val="en-GB"/>
        </w:rPr>
        <w:t>.</w:t>
      </w:r>
    </w:p>
    <w:p w:rsidR="004659AA" w:rsidRDefault="0076118F">
      <w:pPr>
        <w:autoSpaceDE/>
        <w:autoSpaceDN/>
        <w:adjustRightInd/>
        <w:spacing w:after="0" w:line="240" w:lineRule="auto"/>
        <w:jc w:val="both"/>
        <w:rPr>
          <w:rFonts w:ascii="Times New Roman" w:eastAsia="Times New Roman" w:hAnsi="Times New Roman" w:cs="Times New Roman"/>
          <w:lang w:val="en-GB"/>
        </w:rPr>
      </w:pPr>
    </w:p>
    <w:p w:rsidR="004659AA" w:rsidRDefault="0020708D">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GB"/>
        </w:rPr>
        <w:t xml:space="preserve">Non-GAAP adjusted net loss was $22.0 million, or $0.57 per share for the second quarter of 2019, compared to non-GAAP adjusted net loss of $22.2 million, or $0.59 per share for the second quarter of 2018. </w:t>
      </w:r>
      <w:r w:rsidRPr="00886347">
        <w:rPr>
          <w:rFonts w:ascii="Times New Roman" w:eastAsia="Times New Roman" w:hAnsi="Times New Roman" w:cs="Times New Roman"/>
          <w:lang w:val="en-GB"/>
        </w:rPr>
        <w:t>Non-GAAP adjusted net loss for the first six months of 201</w:t>
      </w:r>
      <w:r>
        <w:rPr>
          <w:rFonts w:ascii="Times New Roman" w:eastAsia="Times New Roman" w:hAnsi="Times New Roman" w:cs="Times New Roman"/>
          <w:lang w:val="en-GB"/>
        </w:rPr>
        <w:t>9</w:t>
      </w:r>
      <w:r w:rsidRPr="00886347">
        <w:rPr>
          <w:rFonts w:ascii="Times New Roman" w:eastAsia="Times New Roman" w:hAnsi="Times New Roman" w:cs="Times New Roman"/>
          <w:lang w:val="en-GB"/>
        </w:rPr>
        <w:t xml:space="preserve"> was $</w:t>
      </w:r>
      <w:r>
        <w:rPr>
          <w:rFonts w:ascii="Times New Roman" w:eastAsia="Times New Roman" w:hAnsi="Times New Roman" w:cs="Times New Roman"/>
          <w:lang w:val="en-GB"/>
        </w:rPr>
        <w:t>13.9</w:t>
      </w:r>
      <w:r w:rsidRPr="00886347">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0.36</w:t>
      </w:r>
      <w:r w:rsidRPr="00886347">
        <w:rPr>
          <w:rFonts w:ascii="Times New Roman" w:eastAsia="Times New Roman" w:hAnsi="Times New Roman" w:cs="Times New Roman"/>
          <w:lang w:val="en-GB"/>
        </w:rPr>
        <w:t xml:space="preserve"> per share, compared to non-GAAP adjusted net loss of </w:t>
      </w:r>
      <w:r>
        <w:rPr>
          <w:rFonts w:ascii="Times New Roman" w:eastAsia="Times New Roman" w:hAnsi="Times New Roman" w:cs="Times New Roman"/>
          <w:lang w:val="en-GB"/>
        </w:rPr>
        <w:t>$21.2</w:t>
      </w:r>
      <w:r w:rsidRPr="00886347">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$0.56</w:t>
      </w:r>
      <w:r w:rsidRPr="00886347">
        <w:rPr>
          <w:rFonts w:ascii="Times New Roman" w:eastAsia="Times New Roman" w:hAnsi="Times New Roman" w:cs="Times New Roman"/>
          <w:lang w:val="en-GB"/>
        </w:rPr>
        <w:t xml:space="preserve"> per share, for the first six months of 201</w:t>
      </w:r>
      <w:r>
        <w:rPr>
          <w:rFonts w:ascii="Times New Roman" w:eastAsia="Times New Roman" w:hAnsi="Times New Roman" w:cs="Times New Roman"/>
          <w:lang w:val="en-GB"/>
        </w:rPr>
        <w:t xml:space="preserve">8. Non-GAAP adjusted net loss </w:t>
      </w:r>
      <w:r>
        <w:rPr>
          <w:rFonts w:ascii="Times New Roman" w:eastAsia="Times New Roman" w:hAnsi="Times New Roman" w:cs="Times New Roman"/>
        </w:rPr>
        <w:t xml:space="preserve">excludes stock-based compensation expense. For a reconciliation of GAAP net loss to non-GAAP adjusted net loss and GAAP net loss per share to non-GAAP adjusted net loss per share, please see the financial tables at the end of this news release. </w:t>
      </w:r>
    </w:p>
    <w:p w:rsidR="004659AA" w:rsidRDefault="0076118F">
      <w:pPr>
        <w:autoSpaceDE/>
        <w:autoSpaceDN/>
        <w:adjustRightInd/>
        <w:spacing w:after="0" w:line="240" w:lineRule="auto"/>
        <w:jc w:val="both"/>
        <w:rPr>
          <w:rFonts w:ascii="Times New Roman" w:eastAsia="Times New Roman" w:hAnsi="Times New Roman" w:cs="Times New Roman"/>
          <w:lang w:val="en-GB"/>
        </w:rPr>
      </w:pPr>
    </w:p>
    <w:p w:rsidR="004659AA" w:rsidRDefault="0020708D">
      <w:pPr>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Net cash provided by operating activities for the second quarter of 2019 was $</w:t>
      </w:r>
      <w:r w:rsidR="00FC1FC2">
        <w:rPr>
          <w:rFonts w:ascii="Times New Roman" w:eastAsia="Times New Roman" w:hAnsi="Times New Roman" w:cs="Times New Roman"/>
          <w:lang w:val="en-GB"/>
        </w:rPr>
        <w:t>44.2</w:t>
      </w:r>
      <w:r>
        <w:rPr>
          <w:rFonts w:ascii="Times New Roman" w:eastAsia="Times New Roman" w:hAnsi="Times New Roman" w:cs="Times New Roman"/>
          <w:lang w:val="en-GB"/>
        </w:rPr>
        <w:t xml:space="preserve"> million, compared to net cash used in operating activities of $17.6 million in the second quarter of 2018. </w:t>
      </w:r>
      <w:r w:rsidRPr="003F3C22">
        <w:rPr>
          <w:rFonts w:ascii="Times New Roman" w:eastAsia="Times New Roman" w:hAnsi="Times New Roman" w:cs="Times New Roman"/>
          <w:lang w:val="en-GB"/>
        </w:rPr>
        <w:t xml:space="preserve">Net cash </w:t>
      </w:r>
      <w:r>
        <w:rPr>
          <w:rFonts w:ascii="Times New Roman" w:eastAsia="Times New Roman" w:hAnsi="Times New Roman" w:cs="Times New Roman"/>
          <w:lang w:val="en-GB"/>
        </w:rPr>
        <w:t xml:space="preserve">provided </w:t>
      </w:r>
      <w:proofErr w:type="gramStart"/>
      <w:r>
        <w:rPr>
          <w:rFonts w:ascii="Times New Roman" w:eastAsia="Times New Roman" w:hAnsi="Times New Roman" w:cs="Times New Roman"/>
          <w:lang w:val="en-GB"/>
        </w:rPr>
        <w:t xml:space="preserve">by </w:t>
      </w:r>
      <w:r w:rsidRPr="003F3C22">
        <w:rPr>
          <w:rFonts w:ascii="Times New Roman" w:eastAsia="Times New Roman" w:hAnsi="Times New Roman" w:cs="Times New Roman"/>
          <w:lang w:val="en-GB"/>
        </w:rPr>
        <w:t xml:space="preserve"> operating</w:t>
      </w:r>
      <w:proofErr w:type="gramEnd"/>
      <w:r w:rsidRPr="003F3C22">
        <w:rPr>
          <w:rFonts w:ascii="Times New Roman" w:eastAsia="Times New Roman" w:hAnsi="Times New Roman" w:cs="Times New Roman"/>
          <w:lang w:val="en-GB"/>
        </w:rPr>
        <w:t xml:space="preserve"> activities for the first six months of 201</w:t>
      </w:r>
      <w:r>
        <w:rPr>
          <w:rFonts w:ascii="Times New Roman" w:eastAsia="Times New Roman" w:hAnsi="Times New Roman" w:cs="Times New Roman"/>
          <w:lang w:val="en-GB"/>
        </w:rPr>
        <w:t>9</w:t>
      </w:r>
      <w:r w:rsidRPr="003F3C22">
        <w:rPr>
          <w:rFonts w:ascii="Times New Roman" w:eastAsia="Times New Roman" w:hAnsi="Times New Roman" w:cs="Times New Roman"/>
          <w:lang w:val="en-GB"/>
        </w:rPr>
        <w:t xml:space="preserve"> was </w:t>
      </w:r>
      <w:r>
        <w:rPr>
          <w:rFonts w:ascii="Times New Roman" w:eastAsia="Times New Roman" w:hAnsi="Times New Roman" w:cs="Times New Roman"/>
          <w:lang w:val="en-GB"/>
        </w:rPr>
        <w:t>$</w:t>
      </w:r>
      <w:r w:rsidR="00FC1FC2">
        <w:rPr>
          <w:rFonts w:ascii="Times New Roman" w:eastAsia="Times New Roman" w:hAnsi="Times New Roman" w:cs="Times New Roman"/>
          <w:lang w:val="en-GB"/>
        </w:rPr>
        <w:t>28.1</w:t>
      </w:r>
      <w:r>
        <w:rPr>
          <w:rFonts w:ascii="Times New Roman" w:eastAsia="Times New Roman" w:hAnsi="Times New Roman" w:cs="Times New Roman"/>
          <w:lang w:val="en-GB"/>
        </w:rPr>
        <w:t xml:space="preserve"> </w:t>
      </w:r>
      <w:r w:rsidRPr="003F3C22">
        <w:rPr>
          <w:rFonts w:ascii="Times New Roman" w:eastAsia="Times New Roman" w:hAnsi="Times New Roman" w:cs="Times New Roman"/>
          <w:lang w:val="en-GB"/>
        </w:rPr>
        <w:t>million</w:t>
      </w:r>
      <w:r>
        <w:rPr>
          <w:rFonts w:ascii="Times New Roman" w:eastAsia="Times New Roman" w:hAnsi="Times New Roman" w:cs="Times New Roman"/>
          <w:lang w:val="en-GB"/>
        </w:rPr>
        <w:t>, compared to net cash used in operating activities of $23.9 million in the first six months of 2018.</w:t>
      </w:r>
      <w:r w:rsidRPr="003F3C2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At June 30, 2019, Puma had </w:t>
      </w:r>
      <w:proofErr w:type="gramStart"/>
      <w:r>
        <w:rPr>
          <w:rFonts w:ascii="Times New Roman" w:eastAsia="Times New Roman" w:hAnsi="Times New Roman" w:cs="Times New Roman"/>
          <w:lang w:val="en-GB"/>
        </w:rPr>
        <w:t>cash</w:t>
      </w:r>
      <w:r w:rsidR="009B165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cash</w:t>
      </w:r>
      <w:proofErr w:type="gramEnd"/>
      <w:r>
        <w:rPr>
          <w:rFonts w:ascii="Times New Roman" w:eastAsia="Times New Roman" w:hAnsi="Times New Roman" w:cs="Times New Roman"/>
          <w:lang w:val="en-GB"/>
        </w:rPr>
        <w:t xml:space="preserve"> equivalents</w:t>
      </w:r>
      <w:r w:rsidR="009B1652">
        <w:rPr>
          <w:rFonts w:ascii="Times New Roman" w:eastAsia="Times New Roman" w:hAnsi="Times New Roman" w:cs="Times New Roman"/>
          <w:lang w:val="en-GB"/>
        </w:rPr>
        <w:t>, and marketable securities</w:t>
      </w:r>
      <w:r>
        <w:rPr>
          <w:rFonts w:ascii="Times New Roman" w:eastAsia="Times New Roman" w:hAnsi="Times New Roman" w:cs="Times New Roman"/>
          <w:lang w:val="en-GB"/>
        </w:rPr>
        <w:t xml:space="preserve"> of $</w:t>
      </w:r>
      <w:r w:rsidR="009B1652">
        <w:rPr>
          <w:rFonts w:ascii="Times New Roman" w:eastAsia="Times New Roman" w:hAnsi="Times New Roman" w:cs="Times New Roman"/>
          <w:lang w:val="en-GB"/>
        </w:rPr>
        <w:t>117.7</w:t>
      </w:r>
      <w:r w:rsidR="00893C6E">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w:t>
      </w:r>
      <w:r w:rsidR="009B1652">
        <w:rPr>
          <w:rFonts w:ascii="Times New Roman" w:eastAsia="Times New Roman" w:hAnsi="Times New Roman" w:cs="Times New Roman"/>
          <w:lang w:val="en-GB"/>
        </w:rPr>
        <w:t>,</w:t>
      </w:r>
      <w:r>
        <w:rPr>
          <w:rFonts w:ascii="Times New Roman" w:eastAsia="Times New Roman" w:hAnsi="Times New Roman" w:cs="Times New Roman"/>
          <w:lang w:val="en-GB"/>
        </w:rPr>
        <w:t xml:space="preserve"> compared to cash</w:t>
      </w:r>
      <w:r w:rsidR="009B1652">
        <w:rPr>
          <w:rFonts w:ascii="Times New Roman" w:eastAsia="Times New Roman" w:hAnsi="Times New Roman" w:cs="Times New Roman"/>
          <w:lang w:val="en-GB"/>
        </w:rPr>
        <w:t>,</w:t>
      </w:r>
      <w:r>
        <w:rPr>
          <w:rFonts w:ascii="Times New Roman" w:eastAsia="Times New Roman" w:hAnsi="Times New Roman" w:cs="Times New Roman"/>
          <w:lang w:val="en-GB"/>
        </w:rPr>
        <w:t xml:space="preserve"> cash equivalents</w:t>
      </w:r>
      <w:r w:rsidR="009B1652">
        <w:rPr>
          <w:rFonts w:ascii="Times New Roman" w:eastAsia="Times New Roman" w:hAnsi="Times New Roman" w:cs="Times New Roman"/>
          <w:lang w:val="en-GB"/>
        </w:rPr>
        <w:t xml:space="preserve"> and marketable securities</w:t>
      </w:r>
      <w:r>
        <w:rPr>
          <w:rFonts w:ascii="Times New Roman" w:eastAsia="Times New Roman" w:hAnsi="Times New Roman" w:cs="Times New Roman"/>
          <w:lang w:val="en-GB"/>
        </w:rPr>
        <w:t xml:space="preserve"> of $</w:t>
      </w:r>
      <w:r w:rsidR="009B1652">
        <w:rPr>
          <w:rFonts w:ascii="Times New Roman" w:eastAsia="Times New Roman" w:hAnsi="Times New Roman" w:cs="Times New Roman"/>
          <w:lang w:val="en-GB"/>
        </w:rPr>
        <w:t>165.4</w:t>
      </w:r>
      <w:r>
        <w:rPr>
          <w:rFonts w:ascii="Times New Roman" w:eastAsia="Times New Roman" w:hAnsi="Times New Roman" w:cs="Times New Roman"/>
          <w:lang w:val="en-GB"/>
        </w:rPr>
        <w:t xml:space="preserve"> million at December 31, 2018.</w:t>
      </w:r>
      <w:r w:rsidR="009B1652">
        <w:rPr>
          <w:rFonts w:ascii="Times New Roman" w:eastAsia="Times New Roman" w:hAnsi="Times New Roman" w:cs="Times New Roman"/>
          <w:lang w:val="en-GB"/>
        </w:rPr>
        <w:t xml:space="preserve">  The reduction in cash, cash equivalents and marketable securities in the second quarter was the result of the previously disclosed repayment of the $155 million outstanding loan using cash on hand and $100 million in new borrowings from an amended and restated loan agreement in June 2019.</w:t>
      </w:r>
    </w:p>
    <w:p w:rsidR="004659AA" w:rsidRDefault="0076118F">
      <w:pPr>
        <w:autoSpaceDE/>
        <w:autoSpaceDN/>
        <w:adjustRightInd/>
        <w:spacing w:after="0" w:line="240" w:lineRule="auto"/>
        <w:jc w:val="both"/>
        <w:rPr>
          <w:rFonts w:ascii="Times New Roman" w:hAnsi="Times New Roman" w:cs="Times New Roman"/>
        </w:rPr>
      </w:pPr>
    </w:p>
    <w:p w:rsidR="004659AA" w:rsidRPr="00A5019B" w:rsidRDefault="0020708D">
      <w:pPr>
        <w:spacing w:after="0" w:line="240" w:lineRule="auto"/>
        <w:jc w:val="both"/>
        <w:rPr>
          <w:rFonts w:ascii="Times New Roman" w:hAnsi="Times New Roman" w:cs="Times New Roman"/>
        </w:rPr>
      </w:pPr>
      <w:r w:rsidRPr="00A35F21">
        <w:rPr>
          <w:rFonts w:ascii="Times New Roman" w:eastAsia="Times New Roman" w:hAnsi="Times New Roman" w:cs="Times New Roman"/>
        </w:rPr>
        <w:t>“</w:t>
      </w:r>
      <w:r>
        <w:rPr>
          <w:rFonts w:ascii="Times New Roman" w:hAnsi="Times New Roman" w:cs="Times New Roman"/>
        </w:rPr>
        <w:t xml:space="preserve">The second quarter of 2019 included the achievement of several key milestones </w:t>
      </w:r>
      <w:r w:rsidRPr="00A5019B">
        <w:rPr>
          <w:rFonts w:ascii="Times New Roman" w:hAnsi="Times New Roman" w:cs="Times New Roman"/>
        </w:rPr>
        <w:t>for Puma</w:t>
      </w:r>
      <w:r>
        <w:rPr>
          <w:rFonts w:ascii="Times New Roman" w:hAnsi="Times New Roman" w:cs="Times New Roman"/>
        </w:rPr>
        <w:t>,</w:t>
      </w:r>
      <w:r w:rsidRPr="00A35F21">
        <w:rPr>
          <w:rFonts w:ascii="Times New Roman" w:hAnsi="Times New Roman" w:cs="Times New Roman"/>
        </w:rPr>
        <w:t>”</w:t>
      </w:r>
      <w:r w:rsidRPr="00A35F21">
        <w:rPr>
          <w:rFonts w:ascii="Times New Roman" w:eastAsia="Times New Roman" w:hAnsi="Times New Roman" w:cs="Times New Roman"/>
        </w:rPr>
        <w:t xml:space="preserve"> said Alan H. Auerbach, Chairman, Chief Executive Officer and President of Puma. “</w:t>
      </w:r>
      <w:r>
        <w:rPr>
          <w:rFonts w:ascii="Times New Roman" w:eastAsia="Times New Roman" w:hAnsi="Times New Roman" w:cs="Times New Roman"/>
        </w:rPr>
        <w:t xml:space="preserve">This included sequential </w:t>
      </w:r>
      <w:r w:rsidRPr="00A5019B">
        <w:rPr>
          <w:rFonts w:ascii="Times New Roman" w:eastAsia="Times New Roman" w:hAnsi="Times New Roman" w:cs="Times New Roman"/>
        </w:rPr>
        <w:t>NERLYNX sales</w:t>
      </w:r>
      <w:r>
        <w:rPr>
          <w:rFonts w:ascii="Times New Roman" w:eastAsia="Times New Roman" w:hAnsi="Times New Roman" w:cs="Times New Roman"/>
        </w:rPr>
        <w:t xml:space="preserve"> growth and the</w:t>
      </w:r>
      <w:r w:rsidRPr="00A5019B">
        <w:rPr>
          <w:rFonts w:ascii="Times New Roman" w:eastAsia="Times New Roman" w:hAnsi="Times New Roman" w:cs="Times New Roman"/>
        </w:rPr>
        <w:t xml:space="preserve"> expan</w:t>
      </w:r>
      <w:r>
        <w:rPr>
          <w:rFonts w:ascii="Times New Roman" w:eastAsia="Times New Roman" w:hAnsi="Times New Roman" w:cs="Times New Roman"/>
        </w:rPr>
        <w:t>sion of</w:t>
      </w:r>
      <w:r w:rsidRPr="00A5019B">
        <w:rPr>
          <w:rFonts w:ascii="Times New Roman" w:eastAsia="Times New Roman" w:hAnsi="Times New Roman" w:cs="Times New Roman"/>
        </w:rPr>
        <w:t xml:space="preserve"> our global presence with </w:t>
      </w:r>
      <w:r>
        <w:rPr>
          <w:rFonts w:ascii="Times New Roman" w:eastAsia="Times New Roman" w:hAnsi="Times New Roman" w:cs="Times New Roman"/>
        </w:rPr>
        <w:t xml:space="preserve">NERLYNX with </w:t>
      </w:r>
      <w:r w:rsidRPr="00A5019B">
        <w:rPr>
          <w:rFonts w:ascii="Times New Roman" w:eastAsia="Times New Roman" w:hAnsi="Times New Roman" w:cs="Times New Roman"/>
        </w:rPr>
        <w:t xml:space="preserve">our European </w:t>
      </w:r>
      <w:bookmarkStart w:id="0" w:name="_GoBack"/>
      <w:bookmarkEnd w:id="0"/>
      <w:r w:rsidRPr="00A5019B">
        <w:rPr>
          <w:rFonts w:ascii="Times New Roman" w:eastAsia="Times New Roman" w:hAnsi="Times New Roman" w:cs="Times New Roman"/>
        </w:rPr>
        <w:t>licensing agreement with Pierre Fabre</w:t>
      </w:r>
      <w:r>
        <w:rPr>
          <w:rFonts w:ascii="Times New Roman" w:eastAsia="Times New Roman" w:hAnsi="Times New Roman" w:cs="Times New Roman"/>
        </w:rPr>
        <w:t xml:space="preserve">.  We saw the </w:t>
      </w:r>
      <w:r w:rsidR="00453CDC" w:rsidRPr="00453CDC">
        <w:rPr>
          <w:rFonts w:ascii="Times New Roman" w:eastAsia="Times New Roman" w:hAnsi="Times New Roman" w:cs="Times New Roman"/>
        </w:rPr>
        <w:t>achievement</w:t>
      </w:r>
      <w:r>
        <w:rPr>
          <w:rFonts w:ascii="Times New Roman" w:eastAsia="Times New Roman" w:hAnsi="Times New Roman" w:cs="Times New Roman"/>
        </w:rPr>
        <w:t xml:space="preserve"> of additional key milestones in July with the filing of the new drug application for neratinib in the metastatic breast cancer indication and obtaining approval for </w:t>
      </w:r>
      <w:r>
        <w:rPr>
          <w:rFonts w:ascii="Times New Roman" w:hAnsi="Times New Roman" w:cs="Times New Roman"/>
        </w:rPr>
        <w:t>NERLYNX in the extended adjuvant indication from Health Canada</w:t>
      </w:r>
      <w:r>
        <w:rPr>
          <w:rFonts w:ascii="Times New Roman" w:eastAsia="Times New Roman" w:hAnsi="Times New Roman" w:cs="Times New Roman"/>
        </w:rPr>
        <w:t>.</w:t>
      </w:r>
      <w:r w:rsidRPr="00A35F21">
        <w:rPr>
          <w:rFonts w:ascii="Times New Roman" w:eastAsia="Times New Roman" w:hAnsi="Times New Roman" w:cs="Times New Roman"/>
        </w:rPr>
        <w:t>”</w:t>
      </w:r>
    </w:p>
    <w:p w:rsidR="004659AA" w:rsidRDefault="0076118F">
      <w:pPr>
        <w:spacing w:after="0" w:line="240" w:lineRule="auto"/>
        <w:jc w:val="both"/>
        <w:rPr>
          <w:rFonts w:ascii="Times New Roman" w:eastAsia="Times New Roman" w:hAnsi="Times New Roman" w:cs="Times New Roman"/>
          <w:lang w:val="en-GB"/>
        </w:rPr>
      </w:pPr>
    </w:p>
    <w:p w:rsidR="007757D7" w:rsidRDefault="0020708D" w:rsidP="007757D7">
      <w:pPr>
        <w:spacing w:after="0" w:line="240" w:lineRule="auto"/>
        <w:jc w:val="both"/>
        <w:rPr>
          <w:rFonts w:ascii="Times New Roman" w:hAnsi="Times New Roman" w:cs="Times New Roman"/>
        </w:rPr>
      </w:pPr>
      <w:r>
        <w:rPr>
          <w:rFonts w:ascii="Times New Roman" w:eastAsia="Times New Roman" w:hAnsi="Times New Roman" w:cs="Times New Roman"/>
          <w:lang w:val="en-GB"/>
        </w:rPr>
        <w:t xml:space="preserve">Mr. Auerbach </w:t>
      </w:r>
      <w:r w:rsidRPr="002D7E47">
        <w:rPr>
          <w:rFonts w:ascii="Times New Roman" w:eastAsia="Times New Roman" w:hAnsi="Times New Roman" w:cs="Times New Roman"/>
          <w:lang w:val="en-GB"/>
        </w:rPr>
        <w:t xml:space="preserve">added, “We anticipate the following key milestones </w:t>
      </w:r>
      <w:r>
        <w:rPr>
          <w:rFonts w:ascii="Times New Roman" w:eastAsia="Times New Roman" w:hAnsi="Times New Roman" w:cs="Times New Roman"/>
          <w:lang w:val="en-GB"/>
        </w:rPr>
        <w:t>during the remainder of 2019</w:t>
      </w:r>
      <w:r w:rsidRPr="002D7E47">
        <w:rPr>
          <w:rFonts w:ascii="Times New Roman" w:eastAsia="Times New Roman" w:hAnsi="Times New Roman" w:cs="Times New Roman"/>
          <w:lang w:val="en-GB"/>
        </w:rPr>
        <w:t>:  (i)</w:t>
      </w:r>
      <w:r>
        <w:rPr>
          <w:rFonts w:ascii="Times New Roman" w:eastAsia="Times New Roman" w:hAnsi="Times New Roman" w:cs="Times New Roman"/>
          <w:lang w:val="en-GB"/>
        </w:rPr>
        <w:t xml:space="preserve"> </w:t>
      </w:r>
      <w:r>
        <w:rPr>
          <w:rFonts w:ascii="Times New Roman" w:hAnsi="Times New Roman" w:cs="Times New Roman"/>
        </w:rPr>
        <w:t xml:space="preserve">meeting with the FDA to discuss the clinical development and regulatory strategy for the SUMMIT trial </w:t>
      </w:r>
      <w:r>
        <w:rPr>
          <w:rFonts w:ascii="Times New Roman" w:hAnsi="Times New Roman" w:cs="Times New Roman"/>
        </w:rPr>
        <w:lastRenderedPageBreak/>
        <w:t xml:space="preserve">in the third quarter of 2019; (ii) </w:t>
      </w:r>
      <w:r w:rsidRPr="00CB1001">
        <w:rPr>
          <w:rFonts w:ascii="Times New Roman" w:hAnsi="Times New Roman" w:cs="Times New Roman"/>
        </w:rPr>
        <w:t xml:space="preserve">reporting additional data from the Phase II CONTROL trial in the </w:t>
      </w:r>
      <w:r>
        <w:rPr>
          <w:rFonts w:ascii="Times New Roman" w:hAnsi="Times New Roman" w:cs="Times New Roman"/>
        </w:rPr>
        <w:t>fourth quarter</w:t>
      </w:r>
      <w:r w:rsidRPr="00CB1001">
        <w:rPr>
          <w:rFonts w:ascii="Times New Roman" w:hAnsi="Times New Roman" w:cs="Times New Roman"/>
        </w:rPr>
        <w:t xml:space="preserve"> of 2019</w:t>
      </w:r>
      <w:r>
        <w:rPr>
          <w:rFonts w:ascii="Times New Roman" w:hAnsi="Times New Roman" w:cs="Times New Roman"/>
        </w:rPr>
        <w:t>; and (iii)</w:t>
      </w:r>
      <w:r w:rsidRPr="00CB1001">
        <w:rPr>
          <w:rFonts w:ascii="Times New Roman" w:hAnsi="Times New Roman" w:cs="Times New Roman"/>
        </w:rPr>
        <w:t xml:space="preserve"> receiving regulatory decisions for the extended adjuvant HER2-positive early stage breast cancer indication in additional countries</w:t>
      </w:r>
      <w:r>
        <w:rPr>
          <w:rFonts w:ascii="Times New Roman" w:hAnsi="Times New Roman" w:cs="Times New Roman"/>
        </w:rPr>
        <w:t>.”</w:t>
      </w:r>
    </w:p>
    <w:p w:rsidR="00893C6E" w:rsidRDefault="00893C6E">
      <w:pPr>
        <w:spacing w:after="0" w:line="240" w:lineRule="auto"/>
        <w:jc w:val="both"/>
        <w:rPr>
          <w:rFonts w:ascii="Times New Roman" w:eastAsia="PMingLiU" w:hAnsi="Times New Roman" w:cs="Times New Roman"/>
          <w:b/>
        </w:rPr>
      </w:pPr>
    </w:p>
    <w:p w:rsidR="004659AA" w:rsidRDefault="0020708D">
      <w:pPr>
        <w:spacing w:after="0" w:line="240" w:lineRule="auto"/>
        <w:jc w:val="both"/>
        <w:rPr>
          <w:rFonts w:ascii="Times New Roman" w:eastAsia="PMingLiU" w:hAnsi="Times New Roman" w:cs="Times New Roman"/>
          <w:b/>
        </w:rPr>
      </w:pPr>
      <w:r>
        <w:rPr>
          <w:rFonts w:ascii="Times New Roman" w:eastAsia="PMingLiU" w:hAnsi="Times New Roman" w:cs="Times New Roman"/>
          <w:b/>
        </w:rPr>
        <w:t xml:space="preserve">Revenue </w:t>
      </w:r>
    </w:p>
    <w:p w:rsidR="004659AA" w:rsidRDefault="0076118F">
      <w:pPr>
        <w:spacing w:after="0" w:line="240" w:lineRule="auto"/>
        <w:jc w:val="both"/>
        <w:rPr>
          <w:rFonts w:ascii="Times New Roman" w:eastAsia="PMingLiU" w:hAnsi="Times New Roman" w:cs="Times New Roman"/>
        </w:rPr>
      </w:pPr>
    </w:p>
    <w:p w:rsidR="004659AA" w:rsidRDefault="0020708D">
      <w:pPr>
        <w:spacing w:after="0" w:line="240" w:lineRule="auto"/>
        <w:jc w:val="both"/>
        <w:rPr>
          <w:rFonts w:ascii="Times New Roman" w:eastAsia="Times New Roman" w:hAnsi="Times New Roman" w:cs="Times New Roman"/>
          <w:lang w:val="en-GB"/>
        </w:rPr>
      </w:pPr>
      <w:r>
        <w:rPr>
          <w:rFonts w:ascii="Times New Roman" w:eastAsia="PMingLiU" w:hAnsi="Times New Roman" w:cs="Times New Roman"/>
        </w:rPr>
        <w:t>Total revenue consists of product revenue, net from sales of NERLYNX, P</w:t>
      </w:r>
      <w:r w:rsidR="00B12FB2">
        <w:rPr>
          <w:rFonts w:ascii="Times New Roman" w:eastAsia="PMingLiU" w:hAnsi="Times New Roman" w:cs="Times New Roman"/>
        </w:rPr>
        <w:t>uma’s first commercial product</w:t>
      </w:r>
      <w:r>
        <w:rPr>
          <w:rFonts w:ascii="Times New Roman" w:eastAsia="PMingLiU" w:hAnsi="Times New Roman" w:cs="Times New Roman"/>
        </w:rPr>
        <w:t>, license revenue</w:t>
      </w:r>
      <w:r w:rsidRPr="002D7E47">
        <w:rPr>
          <w:rFonts w:ascii="Times New Roman" w:eastAsia="PMingLiU" w:hAnsi="Times New Roman" w:cs="Times New Roman"/>
        </w:rPr>
        <w:t xml:space="preserve"> </w:t>
      </w:r>
      <w:r>
        <w:rPr>
          <w:rFonts w:ascii="Times New Roman" w:eastAsia="PMingLiU" w:hAnsi="Times New Roman" w:cs="Times New Roman"/>
        </w:rPr>
        <w:t xml:space="preserve">and royalty revenue.  </w:t>
      </w:r>
      <w:r>
        <w:rPr>
          <w:rFonts w:ascii="Times New Roman" w:eastAsia="Times New Roman" w:hAnsi="Times New Roman" w:cs="Times New Roman"/>
          <w:lang w:val="en-GB"/>
        </w:rPr>
        <w:t xml:space="preserve">For the second quarter ended June 30, 2019, total revenue was $53.9 million, of which $53.8 million was net NERLYNX revenue and $0.1 million was royalty revenue received from Puma’s sub-licensees. This compares to total revenue of $50.8 million in the second quarter of 2018, all of which was net product revenue. </w:t>
      </w:r>
      <w:r w:rsidRPr="00FC3CEE">
        <w:rPr>
          <w:rFonts w:ascii="Times New Roman" w:eastAsia="Times New Roman" w:hAnsi="Times New Roman" w:cs="Times New Roman"/>
          <w:lang w:val="en-GB"/>
        </w:rPr>
        <w:t>For the first six months of 201</w:t>
      </w:r>
      <w:r>
        <w:rPr>
          <w:rFonts w:ascii="Times New Roman" w:eastAsia="Times New Roman" w:hAnsi="Times New Roman" w:cs="Times New Roman"/>
          <w:lang w:val="en-GB"/>
        </w:rPr>
        <w:t>9</w:t>
      </w:r>
      <w:r w:rsidRPr="00FC3CEE">
        <w:rPr>
          <w:rFonts w:ascii="Times New Roman" w:eastAsia="Times New Roman" w:hAnsi="Times New Roman" w:cs="Times New Roman"/>
          <w:lang w:val="en-GB"/>
        </w:rPr>
        <w:t xml:space="preserve">, total revenue was </w:t>
      </w:r>
      <w:r>
        <w:rPr>
          <w:rFonts w:ascii="Times New Roman" w:eastAsia="Times New Roman" w:hAnsi="Times New Roman" w:cs="Times New Roman"/>
          <w:lang w:val="en-GB"/>
        </w:rPr>
        <w:t xml:space="preserve">$153.0 </w:t>
      </w:r>
      <w:r w:rsidRPr="00FC3CEE">
        <w:rPr>
          <w:rFonts w:ascii="Times New Roman" w:eastAsia="Times New Roman" w:hAnsi="Times New Roman" w:cs="Times New Roman"/>
          <w:lang w:val="en-GB"/>
        </w:rPr>
        <w:t xml:space="preserve">million, of which </w:t>
      </w:r>
      <w:r>
        <w:rPr>
          <w:rFonts w:ascii="Times New Roman" w:eastAsia="Times New Roman" w:hAnsi="Times New Roman" w:cs="Times New Roman"/>
          <w:lang w:val="en-GB"/>
        </w:rPr>
        <w:t>$99.4</w:t>
      </w:r>
      <w:r w:rsidRPr="00FC3CEE">
        <w:rPr>
          <w:rFonts w:ascii="Times New Roman" w:eastAsia="Times New Roman" w:hAnsi="Times New Roman" w:cs="Times New Roman"/>
          <w:lang w:val="en-GB"/>
        </w:rPr>
        <w:t xml:space="preserve"> million was net product revenue</w:t>
      </w:r>
      <w:r>
        <w:rPr>
          <w:rFonts w:ascii="Times New Roman" w:eastAsia="Times New Roman" w:hAnsi="Times New Roman" w:cs="Times New Roman"/>
          <w:lang w:val="en-GB"/>
        </w:rPr>
        <w:t>, $53.5 million was license revenue</w:t>
      </w:r>
      <w:r w:rsidRPr="002D7E47">
        <w:rPr>
          <w:rFonts w:ascii="Times New Roman" w:eastAsia="Times New Roman" w:hAnsi="Times New Roman" w:cs="Times New Roman"/>
          <w:lang w:val="en-GB"/>
        </w:rPr>
        <w:t xml:space="preserve"> </w:t>
      </w:r>
      <w:r w:rsidRPr="00FC3CEE">
        <w:rPr>
          <w:rFonts w:ascii="Times New Roman" w:eastAsia="Times New Roman" w:hAnsi="Times New Roman" w:cs="Times New Roman"/>
          <w:lang w:val="en-GB"/>
        </w:rPr>
        <w:t>received from Puma’s sub-licensees</w:t>
      </w:r>
      <w:r>
        <w:rPr>
          <w:rFonts w:ascii="Times New Roman" w:eastAsia="Times New Roman" w:hAnsi="Times New Roman" w:cs="Times New Roman"/>
          <w:lang w:val="en-GB"/>
        </w:rPr>
        <w:t>,</w:t>
      </w:r>
      <w:r w:rsidRPr="00FC3CEE">
        <w:rPr>
          <w:rFonts w:ascii="Times New Roman" w:eastAsia="Times New Roman" w:hAnsi="Times New Roman" w:cs="Times New Roman"/>
          <w:lang w:val="en-GB"/>
        </w:rPr>
        <w:t xml:space="preserve"> and </w:t>
      </w:r>
      <w:r>
        <w:rPr>
          <w:rFonts w:ascii="Times New Roman" w:eastAsia="Times New Roman" w:hAnsi="Times New Roman" w:cs="Times New Roman"/>
          <w:lang w:val="en-GB"/>
        </w:rPr>
        <w:t xml:space="preserve">$0.1 </w:t>
      </w:r>
      <w:r w:rsidRPr="00FC3CEE">
        <w:rPr>
          <w:rFonts w:ascii="Times New Roman" w:eastAsia="Times New Roman" w:hAnsi="Times New Roman" w:cs="Times New Roman"/>
          <w:lang w:val="en-GB"/>
        </w:rPr>
        <w:t xml:space="preserve">million was </w:t>
      </w:r>
      <w:r>
        <w:rPr>
          <w:rFonts w:ascii="Times New Roman" w:eastAsia="Times New Roman" w:hAnsi="Times New Roman" w:cs="Times New Roman"/>
          <w:lang w:val="en-GB"/>
        </w:rPr>
        <w:t>royalty</w:t>
      </w:r>
      <w:r w:rsidRPr="00FC3CEE">
        <w:rPr>
          <w:rFonts w:ascii="Times New Roman" w:eastAsia="Times New Roman" w:hAnsi="Times New Roman" w:cs="Times New Roman"/>
          <w:lang w:val="en-GB"/>
        </w:rPr>
        <w:t xml:space="preserve"> revenue.</w:t>
      </w:r>
      <w:r>
        <w:rPr>
          <w:rFonts w:ascii="Times New Roman" w:eastAsia="Times New Roman" w:hAnsi="Times New Roman" w:cs="Times New Roman"/>
          <w:lang w:val="en-GB"/>
        </w:rPr>
        <w:t xml:space="preserve">  This compares to total revenue for the first six months of 2018 of $117.3 million, of which $86.8 million was net product revenue and $30.5 million was license revenue.</w:t>
      </w:r>
    </w:p>
    <w:p w:rsidR="004659AA" w:rsidRDefault="0076118F">
      <w:pPr>
        <w:spacing w:after="0" w:line="240" w:lineRule="auto"/>
        <w:jc w:val="both"/>
        <w:rPr>
          <w:rFonts w:ascii="Times New Roman" w:eastAsia="Times New Roman" w:hAnsi="Times New Roman" w:cs="Times New Roman"/>
          <w:lang w:val="en-GB"/>
        </w:rPr>
      </w:pPr>
    </w:p>
    <w:p w:rsidR="004659AA" w:rsidRDefault="0020708D">
      <w:pPr>
        <w:widowControl/>
        <w:autoSpaceDE/>
        <w:autoSpaceDN/>
        <w:adjustRightInd/>
        <w:spacing w:after="0" w:line="240" w:lineRule="auto"/>
        <w:rPr>
          <w:rFonts w:ascii="Times New Roman" w:eastAsia="Times New Roman" w:hAnsi="Times New Roman" w:cs="Times New Roman"/>
          <w:b/>
          <w:lang w:val="en-GB"/>
        </w:rPr>
      </w:pPr>
      <w:r>
        <w:rPr>
          <w:rFonts w:ascii="Times New Roman" w:eastAsia="Times New Roman" w:hAnsi="Times New Roman" w:cs="Times New Roman"/>
          <w:b/>
          <w:lang w:val="en-GB"/>
        </w:rPr>
        <w:t xml:space="preserve">Operating Costs and Expenses </w:t>
      </w:r>
    </w:p>
    <w:p w:rsidR="004659AA" w:rsidRDefault="0076118F">
      <w:pPr>
        <w:widowControl/>
        <w:autoSpaceDE/>
        <w:autoSpaceDN/>
        <w:adjustRightInd/>
        <w:spacing w:after="0" w:line="240" w:lineRule="auto"/>
        <w:rPr>
          <w:rFonts w:ascii="Times New Roman" w:eastAsia="Times New Roman" w:hAnsi="Times New Roman" w:cs="Times New Roman"/>
          <w:lang w:val="en-GB"/>
        </w:rPr>
      </w:pPr>
    </w:p>
    <w:p w:rsidR="004659AA" w:rsidRDefault="0020708D">
      <w:pPr>
        <w:autoSpaceDE/>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Total operating costs and expenses were $79.7 million in the second quarter of 2019, compared to $92.2 million in the second quarter of 2018. </w:t>
      </w:r>
      <w:r w:rsidRPr="00E75D6F">
        <w:rPr>
          <w:rFonts w:ascii="Times New Roman" w:eastAsia="Times New Roman" w:hAnsi="Times New Roman" w:cs="Times New Roman"/>
          <w:lang w:val="en-GB"/>
        </w:rPr>
        <w:t xml:space="preserve">Operating costs and expenses </w:t>
      </w:r>
      <w:r>
        <w:rPr>
          <w:rFonts w:ascii="Times New Roman" w:eastAsia="Times New Roman" w:hAnsi="Times New Roman" w:cs="Times New Roman"/>
          <w:lang w:val="en-GB"/>
        </w:rPr>
        <w:t>in</w:t>
      </w:r>
      <w:r w:rsidRPr="00E75D6F">
        <w:rPr>
          <w:rFonts w:ascii="Times New Roman" w:eastAsia="Times New Roman" w:hAnsi="Times New Roman" w:cs="Times New Roman"/>
          <w:lang w:val="en-GB"/>
        </w:rPr>
        <w:t xml:space="preserve"> the first six months of 201</w:t>
      </w:r>
      <w:r>
        <w:rPr>
          <w:rFonts w:ascii="Times New Roman" w:eastAsia="Times New Roman" w:hAnsi="Times New Roman" w:cs="Times New Roman"/>
          <w:lang w:val="en-GB"/>
        </w:rPr>
        <w:t>9</w:t>
      </w:r>
      <w:r w:rsidRPr="00E75D6F">
        <w:rPr>
          <w:rFonts w:ascii="Times New Roman" w:eastAsia="Times New Roman" w:hAnsi="Times New Roman" w:cs="Times New Roman"/>
          <w:lang w:val="en-GB"/>
        </w:rPr>
        <w:t xml:space="preserve"> were </w:t>
      </w:r>
      <w:r>
        <w:rPr>
          <w:rFonts w:ascii="Times New Roman" w:eastAsia="Times New Roman" w:hAnsi="Times New Roman" w:cs="Times New Roman"/>
          <w:lang w:val="en-GB"/>
        </w:rPr>
        <w:t>$168.9</w:t>
      </w:r>
      <w:r w:rsidRPr="00E75D6F">
        <w:rPr>
          <w:rFonts w:ascii="Times New Roman" w:eastAsia="Times New Roman" w:hAnsi="Times New Roman" w:cs="Times New Roman"/>
          <w:lang w:val="en-GB"/>
        </w:rPr>
        <w:t xml:space="preserve"> million, compared to </w:t>
      </w:r>
      <w:r>
        <w:rPr>
          <w:rFonts w:ascii="Times New Roman" w:eastAsia="Times New Roman" w:hAnsi="Times New Roman" w:cs="Times New Roman"/>
          <w:lang w:val="en-GB"/>
        </w:rPr>
        <w:t>$182.1</w:t>
      </w:r>
      <w:r w:rsidRPr="00E75D6F">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in</w:t>
      </w:r>
      <w:r w:rsidRPr="00E75D6F">
        <w:rPr>
          <w:rFonts w:ascii="Times New Roman" w:eastAsia="Times New Roman" w:hAnsi="Times New Roman" w:cs="Times New Roman"/>
          <w:lang w:val="en-GB"/>
        </w:rPr>
        <w:t xml:space="preserve"> the first six months of 201</w:t>
      </w:r>
      <w:r>
        <w:rPr>
          <w:rFonts w:ascii="Times New Roman" w:eastAsia="Times New Roman" w:hAnsi="Times New Roman" w:cs="Times New Roman"/>
          <w:lang w:val="en-GB"/>
        </w:rPr>
        <w:t>8</w:t>
      </w:r>
      <w:r w:rsidRPr="00E75D6F">
        <w:rPr>
          <w:rFonts w:ascii="Times New Roman" w:eastAsia="Times New Roman" w:hAnsi="Times New Roman" w:cs="Times New Roman"/>
          <w:lang w:val="en-GB"/>
        </w:rPr>
        <w:t>.</w:t>
      </w:r>
    </w:p>
    <w:p w:rsidR="004659AA" w:rsidRDefault="0076118F">
      <w:pPr>
        <w:autoSpaceDE/>
        <w:adjustRightInd/>
        <w:spacing w:after="0" w:line="240" w:lineRule="auto"/>
        <w:jc w:val="both"/>
        <w:rPr>
          <w:rFonts w:ascii="Times New Roman" w:eastAsia="Times New Roman" w:hAnsi="Times New Roman" w:cs="Times New Roman"/>
        </w:rPr>
      </w:pPr>
    </w:p>
    <w:p w:rsidR="004659AA" w:rsidRDefault="0020708D">
      <w:pPr>
        <w:spacing w:after="0" w:line="240" w:lineRule="auto"/>
        <w:jc w:val="both"/>
        <w:rPr>
          <w:rFonts w:ascii="Times New Roman" w:eastAsia="PMingLiU" w:hAnsi="Times New Roman" w:cs="Times New Roman"/>
          <w:i/>
          <w:iCs/>
          <w:color w:val="000000"/>
        </w:rPr>
      </w:pPr>
      <w:r>
        <w:rPr>
          <w:rFonts w:ascii="Times New Roman" w:eastAsia="PMingLiU" w:hAnsi="Times New Roman" w:cs="Times New Roman"/>
          <w:i/>
          <w:iCs/>
          <w:color w:val="000000"/>
        </w:rPr>
        <w:t>Cost of Sales:</w:t>
      </w:r>
    </w:p>
    <w:p w:rsidR="004659AA" w:rsidRDefault="0076118F">
      <w:pPr>
        <w:spacing w:after="0" w:line="240" w:lineRule="auto"/>
        <w:jc w:val="both"/>
        <w:rPr>
          <w:rFonts w:ascii="Times New Roman" w:eastAsia="PMingLiU" w:hAnsi="Times New Roman" w:cs="Times New Roman"/>
          <w:i/>
          <w:iCs/>
          <w:color w:val="000000"/>
        </w:rPr>
      </w:pPr>
    </w:p>
    <w:p w:rsidR="004659AA" w:rsidRDefault="0020708D">
      <w:pPr>
        <w:spacing w:after="0" w:line="240" w:lineRule="auto"/>
        <w:jc w:val="both"/>
        <w:rPr>
          <w:rFonts w:ascii="Times New Roman" w:eastAsia="PMingLiU" w:hAnsi="Times New Roman" w:cs="Times New Roman"/>
          <w:iCs/>
          <w:color w:val="000000"/>
        </w:rPr>
      </w:pPr>
      <w:r>
        <w:rPr>
          <w:rFonts w:ascii="Times New Roman" w:eastAsia="PMingLiU" w:hAnsi="Times New Roman" w:cs="Times New Roman"/>
          <w:iCs/>
          <w:color w:val="000000"/>
        </w:rPr>
        <w:t xml:space="preserve">Cost of sales was $9.3 million for the second quarter of 2019 and </w:t>
      </w:r>
      <w:r>
        <w:rPr>
          <w:rFonts w:ascii="Times New Roman" w:eastAsia="Times New Roman" w:hAnsi="Times New Roman" w:cs="Times New Roman"/>
          <w:lang w:val="en-GB"/>
        </w:rPr>
        <w:t>$17.3 million for the first six months of 2019</w:t>
      </w:r>
      <w:r>
        <w:rPr>
          <w:rFonts w:ascii="Times New Roman" w:eastAsia="PMingLiU" w:hAnsi="Times New Roman" w:cs="Times New Roman"/>
          <w:iCs/>
          <w:color w:val="000000"/>
        </w:rPr>
        <w:t xml:space="preserve">, compared to </w:t>
      </w:r>
      <w:r>
        <w:rPr>
          <w:rFonts w:ascii="Times New Roman" w:eastAsia="Times New Roman" w:hAnsi="Times New Roman" w:cs="Times New Roman"/>
          <w:lang w:val="en-GB"/>
        </w:rPr>
        <w:t>$8.8 million for the second quarter of 2018 and $15.2 for the first six months of 2018</w:t>
      </w:r>
      <w:r>
        <w:rPr>
          <w:rFonts w:ascii="Times New Roman" w:eastAsia="PMingLiU" w:hAnsi="Times New Roman" w:cs="Times New Roman"/>
          <w:iCs/>
          <w:color w:val="000000"/>
        </w:rPr>
        <w:t xml:space="preserve">. </w:t>
      </w:r>
    </w:p>
    <w:p w:rsidR="004659AA" w:rsidRDefault="0076118F">
      <w:pPr>
        <w:widowControl/>
        <w:autoSpaceDE/>
        <w:autoSpaceDN/>
        <w:adjustRightInd/>
        <w:spacing w:after="0" w:line="240" w:lineRule="auto"/>
        <w:rPr>
          <w:rFonts w:ascii="Times New Roman" w:eastAsia="Times New Roman" w:hAnsi="Times New Roman" w:cs="Times New Roman"/>
          <w:lang w:val="en-GB"/>
        </w:rPr>
      </w:pPr>
    </w:p>
    <w:p w:rsidR="004659AA" w:rsidRDefault="0020708D">
      <w:pPr>
        <w:widowControl/>
        <w:autoSpaceDE/>
        <w:autoSpaceDN/>
        <w:adjustRightInd/>
        <w:spacing w:after="0" w:line="240" w:lineRule="auto"/>
        <w:jc w:val="both"/>
        <w:rPr>
          <w:rFonts w:ascii="Times New Roman" w:eastAsia="Times New Roman" w:hAnsi="Times New Roman" w:cs="Times New Roman"/>
          <w:i/>
          <w:lang w:val="en-GB"/>
        </w:rPr>
      </w:pPr>
      <w:r>
        <w:rPr>
          <w:rFonts w:ascii="Times New Roman" w:eastAsia="Times New Roman" w:hAnsi="Times New Roman" w:cs="Times New Roman"/>
          <w:i/>
          <w:lang w:val="en-GB"/>
        </w:rPr>
        <w:t xml:space="preserve">Selling, General and Administrative Expenses: </w:t>
      </w:r>
    </w:p>
    <w:p w:rsidR="004659AA" w:rsidRDefault="0076118F">
      <w:pPr>
        <w:widowControl/>
        <w:autoSpaceDE/>
        <w:autoSpaceDN/>
        <w:adjustRightInd/>
        <w:spacing w:after="0" w:line="240" w:lineRule="auto"/>
        <w:jc w:val="both"/>
        <w:rPr>
          <w:rFonts w:ascii="Times New Roman" w:eastAsia="Times New Roman" w:hAnsi="Times New Roman" w:cs="Times New Roman"/>
          <w:lang w:val="en-GB"/>
        </w:rPr>
      </w:pPr>
    </w:p>
    <w:p w:rsidR="00870036" w:rsidRDefault="0020708D">
      <w:pPr>
        <w:autoSpaceDE/>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Selling, general and administrative expenses (SG&amp;A) were $33.5 million for the second quarter of 2019, compared to $40.1 million for the second quarter of 2018. </w:t>
      </w:r>
      <w:r w:rsidRPr="00881EA7">
        <w:rPr>
          <w:rFonts w:ascii="Times New Roman" w:eastAsia="Times New Roman" w:hAnsi="Times New Roman" w:cs="Times New Roman"/>
          <w:lang w:val="en-GB"/>
        </w:rPr>
        <w:t>SG&amp;A expenses for the first six months of 201</w:t>
      </w:r>
      <w:r>
        <w:rPr>
          <w:rFonts w:ascii="Times New Roman" w:eastAsia="Times New Roman" w:hAnsi="Times New Roman" w:cs="Times New Roman"/>
          <w:lang w:val="en-GB"/>
        </w:rPr>
        <w:t>9</w:t>
      </w:r>
      <w:r w:rsidRPr="00881EA7">
        <w:rPr>
          <w:rFonts w:ascii="Times New Roman" w:eastAsia="Times New Roman" w:hAnsi="Times New Roman" w:cs="Times New Roman"/>
          <w:lang w:val="en-GB"/>
        </w:rPr>
        <w:t xml:space="preserve"> were </w:t>
      </w:r>
      <w:r>
        <w:rPr>
          <w:rFonts w:ascii="Times New Roman" w:eastAsia="Times New Roman" w:hAnsi="Times New Roman" w:cs="Times New Roman"/>
          <w:lang w:val="en-GB"/>
        </w:rPr>
        <w:t>$79.0</w:t>
      </w:r>
      <w:r w:rsidRPr="00881EA7">
        <w:rPr>
          <w:rFonts w:ascii="Times New Roman" w:eastAsia="Times New Roman" w:hAnsi="Times New Roman" w:cs="Times New Roman"/>
          <w:lang w:val="en-GB"/>
        </w:rPr>
        <w:t xml:space="preserve"> million, compared to </w:t>
      </w:r>
      <w:r>
        <w:rPr>
          <w:rFonts w:ascii="Times New Roman" w:eastAsia="Times New Roman" w:hAnsi="Times New Roman" w:cs="Times New Roman"/>
          <w:lang w:val="en-GB"/>
        </w:rPr>
        <w:t>$76.7</w:t>
      </w:r>
      <w:r w:rsidRPr="00881EA7">
        <w:rPr>
          <w:rFonts w:ascii="Times New Roman" w:eastAsia="Times New Roman" w:hAnsi="Times New Roman" w:cs="Times New Roman"/>
          <w:lang w:val="en-GB"/>
        </w:rPr>
        <w:t xml:space="preserve"> million for the first six months of 201</w:t>
      </w:r>
      <w:r>
        <w:rPr>
          <w:rFonts w:ascii="Times New Roman" w:eastAsia="Times New Roman" w:hAnsi="Times New Roman" w:cs="Times New Roman"/>
          <w:lang w:val="en-GB"/>
        </w:rPr>
        <w:t>8</w:t>
      </w:r>
      <w:r w:rsidRPr="00881EA7">
        <w:rPr>
          <w:rFonts w:ascii="Times New Roman" w:eastAsia="Times New Roman" w:hAnsi="Times New Roman" w:cs="Times New Roman"/>
          <w:lang w:val="en-GB"/>
        </w:rPr>
        <w:t xml:space="preserve">. </w:t>
      </w:r>
      <w:r w:rsidRPr="00E7643C">
        <w:rPr>
          <w:rFonts w:ascii="Times New Roman" w:eastAsia="Times New Roman" w:hAnsi="Times New Roman" w:cs="Times New Roman"/>
          <w:lang w:val="en-GB"/>
        </w:rPr>
        <w:t xml:space="preserve">The </w:t>
      </w:r>
      <w:r>
        <w:rPr>
          <w:rFonts w:ascii="Times New Roman" w:eastAsia="Times New Roman" w:hAnsi="Times New Roman" w:cs="Times New Roman"/>
          <w:lang w:val="en-GB"/>
        </w:rPr>
        <w:t xml:space="preserve">approximately </w:t>
      </w:r>
      <w:r w:rsidRPr="00E7643C">
        <w:rPr>
          <w:rFonts w:ascii="Times New Roman" w:eastAsia="Times New Roman" w:hAnsi="Times New Roman" w:cs="Times New Roman"/>
          <w:lang w:val="en-GB"/>
        </w:rPr>
        <w:t>$</w:t>
      </w:r>
      <w:r>
        <w:rPr>
          <w:rFonts w:ascii="Times New Roman" w:eastAsia="Times New Roman" w:hAnsi="Times New Roman" w:cs="Times New Roman"/>
          <w:lang w:val="en-GB"/>
        </w:rPr>
        <w:t xml:space="preserve">2.3 </w:t>
      </w:r>
      <w:r w:rsidRPr="00E7643C">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 xml:space="preserve">year-to-date </w:t>
      </w:r>
      <w:r w:rsidRPr="00E7643C">
        <w:rPr>
          <w:rFonts w:ascii="Times New Roman" w:eastAsia="Times New Roman" w:hAnsi="Times New Roman" w:cs="Times New Roman"/>
          <w:lang w:val="en-GB"/>
        </w:rPr>
        <w:t>increase resulted primarily</w:t>
      </w:r>
      <w:r>
        <w:rPr>
          <w:rFonts w:ascii="Times New Roman" w:eastAsia="Times New Roman" w:hAnsi="Times New Roman" w:cs="Times New Roman"/>
          <w:lang w:val="en-GB"/>
        </w:rPr>
        <w:t xml:space="preserve"> from increases of approximately $2.9 million for professional fees, such as legal fees and marketing and commercial support, $0.6 million in office and banking expenses, and $0.4 million in payroll and payroll-related expenses. These were partially offset by decreases of approximately $1.4 million in travel and meeting-related expenses and $0.2 million related to stock-based compensation expense.</w:t>
      </w:r>
    </w:p>
    <w:p w:rsidR="004659AA" w:rsidRDefault="0076118F">
      <w:pPr>
        <w:autoSpaceDE/>
        <w:adjustRightInd/>
        <w:spacing w:after="0" w:line="240" w:lineRule="auto"/>
        <w:jc w:val="both"/>
        <w:rPr>
          <w:rFonts w:ascii="Times New Roman" w:eastAsia="Times New Roman" w:hAnsi="Times New Roman" w:cs="Times New Roman"/>
        </w:rPr>
      </w:pPr>
    </w:p>
    <w:p w:rsidR="004659AA" w:rsidRDefault="0020708D">
      <w:pPr>
        <w:widowControl/>
        <w:autoSpaceDE/>
        <w:autoSpaceDN/>
        <w:adjustRightInd/>
        <w:spacing w:after="0" w:line="240" w:lineRule="auto"/>
        <w:jc w:val="both"/>
        <w:rPr>
          <w:rFonts w:ascii="Times New Roman" w:eastAsia="Times New Roman" w:hAnsi="Times New Roman" w:cs="Times New Roman"/>
          <w:i/>
          <w:lang w:val="en-GB"/>
        </w:rPr>
      </w:pPr>
      <w:r>
        <w:rPr>
          <w:rFonts w:ascii="Times New Roman" w:eastAsia="Times New Roman" w:hAnsi="Times New Roman" w:cs="Times New Roman"/>
          <w:i/>
          <w:lang w:val="en-GB"/>
        </w:rPr>
        <w:t xml:space="preserve">Research and Development Expenses: </w:t>
      </w:r>
    </w:p>
    <w:p w:rsidR="004659AA" w:rsidRDefault="0076118F">
      <w:pPr>
        <w:widowControl/>
        <w:autoSpaceDE/>
        <w:autoSpaceDN/>
        <w:adjustRightInd/>
        <w:spacing w:after="0" w:line="240" w:lineRule="auto"/>
        <w:jc w:val="both"/>
        <w:rPr>
          <w:rFonts w:ascii="Times New Roman" w:eastAsia="Times New Roman" w:hAnsi="Times New Roman" w:cs="Times New Roman"/>
          <w:lang w:val="en-GB"/>
        </w:rPr>
      </w:pPr>
    </w:p>
    <w:p w:rsidR="00175815" w:rsidRDefault="0020708D">
      <w:pPr>
        <w:widowControl/>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Research and development (R&amp;D) expenses were $36.9 million for the second quarter of 2019, compared to $43.3 million for the second quarter of 2018. </w:t>
      </w:r>
      <w:r w:rsidRPr="00D97E7C">
        <w:rPr>
          <w:rFonts w:ascii="Times New Roman" w:eastAsia="Times New Roman" w:hAnsi="Times New Roman" w:cs="Times New Roman"/>
          <w:lang w:val="en-GB"/>
        </w:rPr>
        <w:t>R&amp;D expenses for the first six months of 201</w:t>
      </w:r>
      <w:r>
        <w:rPr>
          <w:rFonts w:ascii="Times New Roman" w:eastAsia="Times New Roman" w:hAnsi="Times New Roman" w:cs="Times New Roman"/>
          <w:lang w:val="en-GB"/>
        </w:rPr>
        <w:t>9</w:t>
      </w:r>
      <w:r w:rsidRPr="00D97E7C">
        <w:rPr>
          <w:rFonts w:ascii="Times New Roman" w:eastAsia="Times New Roman" w:hAnsi="Times New Roman" w:cs="Times New Roman"/>
          <w:lang w:val="en-GB"/>
        </w:rPr>
        <w:t xml:space="preserve"> were </w:t>
      </w:r>
      <w:r>
        <w:rPr>
          <w:rFonts w:ascii="Times New Roman" w:eastAsia="Times New Roman" w:hAnsi="Times New Roman" w:cs="Times New Roman"/>
          <w:lang w:val="en-GB"/>
        </w:rPr>
        <w:t>$72.6</w:t>
      </w:r>
      <w:r w:rsidRPr="00D97E7C">
        <w:rPr>
          <w:rFonts w:ascii="Times New Roman" w:eastAsia="Times New Roman" w:hAnsi="Times New Roman" w:cs="Times New Roman"/>
          <w:lang w:val="en-GB"/>
        </w:rPr>
        <w:t xml:space="preserve"> million, compared to </w:t>
      </w:r>
      <w:r>
        <w:rPr>
          <w:rFonts w:ascii="Times New Roman" w:eastAsia="Times New Roman" w:hAnsi="Times New Roman" w:cs="Times New Roman"/>
          <w:lang w:val="en-GB"/>
        </w:rPr>
        <w:t>$90.2</w:t>
      </w:r>
      <w:r w:rsidRPr="00D97E7C">
        <w:rPr>
          <w:rFonts w:ascii="Times New Roman" w:eastAsia="Times New Roman" w:hAnsi="Times New Roman" w:cs="Times New Roman"/>
          <w:lang w:val="en-GB"/>
        </w:rPr>
        <w:t xml:space="preserve"> million for the first six months of 201</w:t>
      </w:r>
      <w:r>
        <w:rPr>
          <w:rFonts w:ascii="Times New Roman" w:eastAsia="Times New Roman" w:hAnsi="Times New Roman" w:cs="Times New Roman"/>
          <w:lang w:val="en-GB"/>
        </w:rPr>
        <w:t>8</w:t>
      </w:r>
      <w:r w:rsidRPr="00D97E7C">
        <w:rPr>
          <w:rFonts w:ascii="Times New Roman" w:eastAsia="Times New Roman" w:hAnsi="Times New Roman" w:cs="Times New Roman"/>
          <w:lang w:val="en-GB"/>
        </w:rPr>
        <w:t xml:space="preserve">. </w:t>
      </w:r>
      <w:r w:rsidRPr="00675C58">
        <w:rPr>
          <w:rFonts w:ascii="Times New Roman" w:eastAsia="Times New Roman" w:hAnsi="Times New Roman" w:cs="Times New Roman"/>
          <w:lang w:val="en-GB"/>
        </w:rPr>
        <w:t xml:space="preserve">The $17.6 million </w:t>
      </w:r>
      <w:r>
        <w:rPr>
          <w:rFonts w:ascii="Times New Roman" w:eastAsia="Times New Roman" w:hAnsi="Times New Roman" w:cs="Times New Roman"/>
          <w:lang w:val="en-GB"/>
        </w:rPr>
        <w:t xml:space="preserve">year-to-date </w:t>
      </w:r>
      <w:r w:rsidRPr="00675C58">
        <w:rPr>
          <w:rFonts w:ascii="Times New Roman" w:eastAsia="Times New Roman" w:hAnsi="Times New Roman" w:cs="Times New Roman"/>
          <w:lang w:val="en-GB"/>
        </w:rPr>
        <w:t>decrease resulted primarily</w:t>
      </w:r>
      <w:r>
        <w:rPr>
          <w:rFonts w:ascii="Times New Roman" w:eastAsia="Times New Roman" w:hAnsi="Times New Roman" w:cs="Times New Roman"/>
          <w:lang w:val="en-GB"/>
        </w:rPr>
        <w:t xml:space="preserve"> from decreases of approximately $13.8 million for stock-based compensation, $3.5 million for internal R&amp;D primarily related to payroll and payroll-related expenses, and $0.5 million in consulting fees related to clinical trials. </w:t>
      </w:r>
    </w:p>
    <w:p w:rsidR="008A56E3" w:rsidRDefault="0020708D">
      <w:pPr>
        <w:widowControl/>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p>
    <w:p w:rsidR="004659AA" w:rsidRDefault="0020708D">
      <w:pPr>
        <w:widowControl/>
        <w:autoSpaceDE/>
        <w:autoSpaceDN/>
        <w:adjustRightInd/>
        <w:spacing w:after="0" w:line="240" w:lineRule="auto"/>
        <w:jc w:val="both"/>
        <w:rPr>
          <w:rFonts w:ascii="Times New Roman" w:eastAsia="Times New Roman" w:hAnsi="Times New Roman" w:cs="Times New Roman"/>
          <w:b/>
          <w:lang w:val="en-GB"/>
        </w:rPr>
      </w:pPr>
      <w:r>
        <w:rPr>
          <w:rFonts w:ascii="Times New Roman" w:eastAsia="Times New Roman" w:hAnsi="Times New Roman" w:cs="Times New Roman"/>
          <w:b/>
          <w:lang w:val="en-GB"/>
        </w:rPr>
        <w:t>Total Other Income (Expenses)</w:t>
      </w:r>
    </w:p>
    <w:p w:rsidR="004659AA" w:rsidRDefault="0076118F">
      <w:pPr>
        <w:widowControl/>
        <w:autoSpaceDE/>
        <w:autoSpaceDN/>
        <w:adjustRightInd/>
        <w:spacing w:after="0" w:line="240" w:lineRule="auto"/>
        <w:jc w:val="both"/>
        <w:rPr>
          <w:rFonts w:ascii="Times New Roman" w:eastAsia="Times New Roman" w:hAnsi="Times New Roman" w:cs="Times New Roman"/>
          <w:b/>
          <w:lang w:val="en-GB"/>
        </w:rPr>
      </w:pPr>
    </w:p>
    <w:p w:rsidR="00175815" w:rsidRDefault="0020708D" w:rsidP="00175815">
      <w:pPr>
        <w:spacing w:line="228" w:lineRule="auto"/>
        <w:ind w:right="53"/>
        <w:jc w:val="both"/>
        <w:rPr>
          <w:rFonts w:ascii="Times New Roman" w:hAnsi="Times New Roman"/>
          <w:lang w:val="en-GB"/>
        </w:rPr>
      </w:pPr>
      <w:r>
        <w:rPr>
          <w:rFonts w:ascii="Times New Roman" w:eastAsia="Times New Roman" w:hAnsi="Times New Roman" w:cs="Times New Roman"/>
          <w:lang w:val="en-GB"/>
        </w:rPr>
        <w:t xml:space="preserve">Total other expenses were $11.6 million for the second quarter and $31.6 million for the first six months of 2019, compared to total other expenses of $2.9 million for the second quarter and $3.9 million for the first six months </w:t>
      </w:r>
      <w:proofErr w:type="gramStart"/>
      <w:r>
        <w:rPr>
          <w:rFonts w:ascii="Times New Roman" w:eastAsia="Times New Roman" w:hAnsi="Times New Roman" w:cs="Times New Roman"/>
          <w:lang w:val="en-GB"/>
        </w:rPr>
        <w:t>of  2018</w:t>
      </w:r>
      <w:proofErr w:type="gramEnd"/>
      <w:r>
        <w:rPr>
          <w:rFonts w:ascii="Times New Roman" w:eastAsia="Times New Roman" w:hAnsi="Times New Roman" w:cs="Times New Roman"/>
          <w:lang w:val="en-GB"/>
        </w:rPr>
        <w:t xml:space="preserve">. </w:t>
      </w:r>
      <w:r w:rsidR="00175815">
        <w:rPr>
          <w:rFonts w:ascii="Times New Roman" w:hAnsi="Times New Roman"/>
          <w:lang w:val="en-GB"/>
        </w:rPr>
        <w:t xml:space="preserve">The increase in other expenses recorded in the first six months of 2019 primarily </w:t>
      </w:r>
      <w:proofErr w:type="gramStart"/>
      <w:r w:rsidR="00175815">
        <w:rPr>
          <w:rFonts w:ascii="Times New Roman" w:hAnsi="Times New Roman"/>
          <w:lang w:val="en-GB"/>
        </w:rPr>
        <w:t>included  $</w:t>
      </w:r>
      <w:proofErr w:type="gramEnd"/>
      <w:r w:rsidR="00175815">
        <w:rPr>
          <w:rFonts w:ascii="Times New Roman" w:hAnsi="Times New Roman"/>
          <w:lang w:val="en-GB"/>
        </w:rPr>
        <w:t>16.</w:t>
      </w:r>
      <w:r w:rsidR="000C0FFB">
        <w:rPr>
          <w:rFonts w:ascii="Times New Roman" w:hAnsi="Times New Roman"/>
          <w:lang w:val="en-GB"/>
        </w:rPr>
        <w:t>4</w:t>
      </w:r>
      <w:r w:rsidR="00175815">
        <w:rPr>
          <w:rFonts w:ascii="Times New Roman" w:hAnsi="Times New Roman"/>
          <w:lang w:val="en-GB"/>
        </w:rPr>
        <w:t xml:space="preserve"> million related to a March 2019 jury verdict against Puma and $8.1 million related to the debt refinancing.  </w:t>
      </w:r>
    </w:p>
    <w:p w:rsidR="004659AA" w:rsidRDefault="0020708D" w:rsidP="00B12FB2">
      <w:pPr>
        <w:autoSpaceDE/>
        <w:adjustRightInd/>
        <w:spacing w:after="0" w:line="228" w:lineRule="auto"/>
        <w:ind w:right="53"/>
        <w:jc w:val="both"/>
        <w:rPr>
          <w:rFonts w:ascii="Times New Roman" w:eastAsia="Arial" w:hAnsi="Times New Roman" w:cs="Times New Roman"/>
          <w:b/>
          <w:bCs/>
        </w:rPr>
      </w:pPr>
      <w:r>
        <w:rPr>
          <w:rFonts w:ascii="Times New Roman" w:eastAsia="Arial" w:hAnsi="Times New Roman" w:cs="Times New Roman"/>
          <w:b/>
          <w:bCs/>
        </w:rPr>
        <w:lastRenderedPageBreak/>
        <w:t>Conference Call</w:t>
      </w:r>
    </w:p>
    <w:p w:rsidR="004659AA" w:rsidRDefault="0076118F">
      <w:pPr>
        <w:spacing w:after="0" w:line="240" w:lineRule="auto"/>
        <w:jc w:val="both"/>
        <w:rPr>
          <w:rFonts w:ascii="Times New Roman" w:eastAsia="Arial" w:hAnsi="Times New Roman" w:cs="Times New Roman"/>
          <w:b/>
          <w:bCs/>
        </w:rPr>
      </w:pPr>
    </w:p>
    <w:p w:rsidR="004659AA" w:rsidRDefault="002070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Puma Biotechnology will host a conference call </w:t>
      </w:r>
      <w:r>
        <w:rPr>
          <w:rFonts w:ascii="Times New Roman" w:eastAsia="PMingLiU" w:hAnsi="Times New Roman" w:cs="Times New Roman"/>
          <w:color w:val="000000" w:themeColor="text1"/>
        </w:rPr>
        <w:t xml:space="preserve">to report its second quarter 2019 financial results and provide an update on the Company’s business and outlook </w:t>
      </w:r>
      <w:r>
        <w:rPr>
          <w:rFonts w:ascii="Times New Roman" w:eastAsia="Times New Roman" w:hAnsi="Times New Roman" w:cs="Times New Roman"/>
        </w:rPr>
        <w:t>at 1:30 p.m. PDT/4:30 p.m. EDT on Thursday, August 8, 2019. The call may be accessed by dialing 1-877-709-8150 (domestic) or 1-201-689-8354 (international) at least 10 minutes prior to the start of the call and referencing the “Puma Biotechnology Conference Call.” A live webcast of the conference call and presentation slides may be accessed on the Investors section of the Puma Biotechnology website at</w:t>
      </w:r>
      <w:r>
        <w:rPr>
          <w:rFonts w:eastAsia="PMingLiU"/>
        </w:rPr>
        <w:t xml:space="preserve"> </w:t>
      </w:r>
      <w:hyperlink r:id="rId8" w:history="1">
        <w:r>
          <w:rPr>
            <w:rFonts w:ascii="Times New Roman" w:eastAsia="Times New Roman" w:hAnsi="Times New Roman" w:cs="Times New Roman"/>
            <w:color w:val="0000FF"/>
            <w:u w:val="single"/>
          </w:rPr>
          <w:t>http://www.pumabiotechnology.com/</w:t>
        </w:r>
      </w:hyperlink>
      <w:r>
        <w:rPr>
          <w:rFonts w:ascii="Times New Roman" w:eastAsia="Times New Roman" w:hAnsi="Times New Roman" w:cs="Times New Roman"/>
        </w:rPr>
        <w:t xml:space="preserve">. A replay of the call will be available approximately one hour after completion of the call and will be archived on the company's website for 90 days. </w:t>
      </w:r>
    </w:p>
    <w:p w:rsidR="004659AA" w:rsidRDefault="0076118F">
      <w:pPr>
        <w:widowControl/>
        <w:autoSpaceDE/>
        <w:autoSpaceDN/>
        <w:adjustRightInd/>
        <w:spacing w:after="0" w:line="240" w:lineRule="auto"/>
        <w:jc w:val="both"/>
        <w:rPr>
          <w:rFonts w:ascii="Times New Roman" w:eastAsia="Times New Roman" w:hAnsi="Times New Roman" w:cs="Times New Roman"/>
          <w:lang w:val="en-GB"/>
        </w:rPr>
      </w:pPr>
    </w:p>
    <w:p w:rsidR="004659AA" w:rsidRDefault="0020708D">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w:t>
      </w:r>
      <w:r>
        <w:rPr>
          <w:rFonts w:ascii="Times New Roman" w:eastAsia="Times New Roman" w:hAnsi="Times New Roman" w:cs="Times New Roman"/>
          <w:b/>
          <w:spacing w:val="-1"/>
        </w:rPr>
        <w:t>o</w:t>
      </w:r>
      <w:r>
        <w:rPr>
          <w:rFonts w:ascii="Times New Roman" w:eastAsia="Times New Roman" w:hAnsi="Times New Roman" w:cs="Times New Roman"/>
          <w:b/>
        </w:rPr>
        <w:t>ut Puma Biotechnology</w:t>
      </w:r>
    </w:p>
    <w:p w:rsidR="004659AA" w:rsidRDefault="0076118F">
      <w:pPr>
        <w:autoSpaceDE/>
        <w:autoSpaceDN/>
        <w:adjustRightInd/>
        <w:spacing w:after="0" w:line="240" w:lineRule="auto"/>
        <w:jc w:val="both"/>
        <w:rPr>
          <w:rFonts w:ascii="Times New Roman" w:eastAsia="Times New Roman" w:hAnsi="Times New Roman" w:cs="Times New Roman"/>
        </w:rPr>
      </w:pPr>
    </w:p>
    <w:p w:rsidR="004659AA" w:rsidRDefault="0020708D">
      <w:pPr>
        <w:spacing w:after="0" w:line="240" w:lineRule="auto"/>
        <w:jc w:val="both"/>
        <w:rPr>
          <w:rFonts w:ascii="Times New Roman" w:hAnsi="Times New Roman" w:cs="Times New Roman"/>
          <w:szCs w:val="24"/>
        </w:rPr>
      </w:pPr>
      <w:r>
        <w:rPr>
          <w:rFonts w:ascii="Times New Roman" w:hAnsi="Times New Roman" w:cs="Times New Roman"/>
          <w:color w:val="000000"/>
        </w:rPr>
        <w:t xml:space="preserve">Puma Biotechnology, Inc. is a biopharmaceutical company with a focus on the development and commercialization of innovative products to enhance cancer care. The Company in-licenses the global development and commercialization rights to three drug candidates — PB272 (neratinib, oral), PB272 (neratinib, intravenous) and PB357. </w:t>
      </w:r>
      <w:r>
        <w:rPr>
          <w:rFonts w:ascii="Times New Roman" w:hAnsi="Times New Roman" w:cs="Times New Roman"/>
          <w:lang w:val="en-GB"/>
        </w:rPr>
        <w:t xml:space="preserve">Neratinib, oral was approved by the FDA in July 2017 for the extended adjuvant treatment of adult patients with early stage HER2-overexpressed/amplified breast cancer, following adjuvant trastuzumab-based therapy, and is marketed in the United States as NERLYNX® (neratinib) tablets. </w:t>
      </w:r>
      <w:r>
        <w:rPr>
          <w:rFonts w:ascii="Times New Roman" w:hAnsi="Times New Roman" w:cs="Times New Roman"/>
          <w:color w:val="000000"/>
        </w:rPr>
        <w:t>NERLYNX was granted marketing authorization by the European Commission in September 2018 for the extended adjuvant treatment of adult patients with early stage hormone receptor-positive HER2-overexpressed/amplified breast cancer and who are less than one year from completion of prior adjuvant trastuzumab-based therapy.</w:t>
      </w:r>
      <w:r>
        <w:rPr>
          <w:rFonts w:ascii="Arial" w:hAnsi="Arial" w:cs="Arial"/>
          <w:color w:val="000000"/>
          <w:sz w:val="20"/>
          <w:szCs w:val="20"/>
        </w:rPr>
        <w:t xml:space="preserve"> </w:t>
      </w:r>
      <w:r>
        <w:rPr>
          <w:rFonts w:ascii="Times New Roman" w:hAnsi="Times New Roman" w:cs="Times New Roman"/>
          <w:szCs w:val="24"/>
        </w:rPr>
        <w:t>NERLYNX is a registered trademark of Puma Biotechnology, Inc.</w:t>
      </w:r>
    </w:p>
    <w:p w:rsidR="004659AA" w:rsidRDefault="0076118F">
      <w:pPr>
        <w:spacing w:after="0" w:line="240" w:lineRule="auto"/>
        <w:jc w:val="both"/>
        <w:rPr>
          <w:rFonts w:ascii="Times New Roman" w:hAnsi="Times New Roman" w:cs="Times New Roman"/>
          <w:szCs w:val="24"/>
        </w:rPr>
      </w:pPr>
    </w:p>
    <w:p w:rsidR="004659AA" w:rsidRDefault="0020708D">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Further information about Puma Biotechnology may be found at </w:t>
      </w:r>
      <w:hyperlink r:id="rId9" w:history="1">
        <w:r>
          <w:rPr>
            <w:rStyle w:val="Hyperlink"/>
            <w:rFonts w:ascii="Times New Roman" w:eastAsia="Times New Roman" w:hAnsi="Times New Roman" w:cs="Times New Roman"/>
          </w:rPr>
          <w:t>www.pumabiotechnology.com</w:t>
        </w:r>
      </w:hyperlink>
      <w:r>
        <w:rPr>
          <w:rFonts w:ascii="Times New Roman" w:eastAsia="Times New Roman" w:hAnsi="Times New Roman" w:cs="Times New Roman"/>
        </w:rPr>
        <w:t>.</w:t>
      </w:r>
    </w:p>
    <w:p w:rsidR="004659AA" w:rsidRDefault="0076118F">
      <w:pPr>
        <w:autoSpaceDE/>
        <w:autoSpaceDN/>
        <w:adjustRightInd/>
        <w:spacing w:after="0" w:line="240" w:lineRule="auto"/>
        <w:jc w:val="both"/>
        <w:rPr>
          <w:rFonts w:ascii="Times New Roman" w:eastAsia="Times New Roman" w:hAnsi="Times New Roman" w:cs="Times New Roman"/>
        </w:rPr>
      </w:pPr>
    </w:p>
    <w:p w:rsidR="004659AA" w:rsidRDefault="0020708D">
      <w:pPr>
        <w:spacing w:after="0" w:line="240" w:lineRule="auto"/>
        <w:jc w:val="both"/>
        <w:rPr>
          <w:rFonts w:ascii="Times New Roman" w:eastAsia="PMingLiU" w:hAnsi="Times New Roman" w:cs="Times New Roman"/>
          <w:b/>
        </w:rPr>
      </w:pPr>
      <w:r>
        <w:rPr>
          <w:rFonts w:ascii="Times New Roman" w:eastAsia="PMingLiU" w:hAnsi="Times New Roman" w:cs="Times New Roman"/>
          <w:b/>
        </w:rPr>
        <w:t>IMPORTANT SAFETY INFORMATION</w:t>
      </w:r>
    </w:p>
    <w:p w:rsidR="004659AA" w:rsidRDefault="0076118F">
      <w:pPr>
        <w:spacing w:after="0" w:line="240" w:lineRule="auto"/>
        <w:jc w:val="both"/>
        <w:rPr>
          <w:rFonts w:ascii="Times New Roman" w:eastAsia="PMingLiU" w:hAnsi="Times New Roman" w:cs="Times New Roman"/>
        </w:rPr>
      </w:pPr>
    </w:p>
    <w:p w:rsidR="004659AA" w:rsidRDefault="0020708D">
      <w:pPr>
        <w:spacing w:after="0" w:line="240" w:lineRule="auto"/>
        <w:jc w:val="both"/>
        <w:rPr>
          <w:rFonts w:ascii="Times New Roman" w:eastAsia="PMingLiU" w:hAnsi="Times New Roman" w:cs="Times New Roman"/>
        </w:rPr>
      </w:pPr>
      <w:r>
        <w:rPr>
          <w:rFonts w:ascii="Times New Roman" w:eastAsia="PMingLiU" w:hAnsi="Times New Roman" w:cs="Times New Roman"/>
          <w:b/>
          <w:bCs/>
        </w:rPr>
        <w:t>NERLYNX</w:t>
      </w:r>
      <w:r>
        <w:rPr>
          <w:rFonts w:ascii="Times New Roman" w:eastAsia="PMingLiU" w:hAnsi="Times New Roman" w:cs="Times New Roman"/>
          <w:b/>
          <w:bCs/>
          <w:sz w:val="24"/>
          <w:szCs w:val="24"/>
          <w:vertAlign w:val="superscript"/>
        </w:rPr>
        <w:t>®</w:t>
      </w:r>
      <w:r>
        <w:rPr>
          <w:rFonts w:ascii="Times New Roman" w:eastAsia="PMingLiU" w:hAnsi="Times New Roman" w:cs="Times New Roman"/>
          <w:b/>
          <w:bCs/>
        </w:rPr>
        <w:t xml:space="preserve"> (neratinib) tablets, for oral use</w:t>
      </w:r>
    </w:p>
    <w:p w:rsidR="004659AA" w:rsidRDefault="0076118F">
      <w:pPr>
        <w:spacing w:after="0" w:line="240" w:lineRule="auto"/>
        <w:jc w:val="both"/>
        <w:rPr>
          <w:rFonts w:ascii="Times New Roman" w:eastAsia="PMingLiU" w:hAnsi="Times New Roman" w:cs="Times New Roman"/>
        </w:rPr>
      </w:pPr>
    </w:p>
    <w:p w:rsidR="004659AA" w:rsidRDefault="0020708D">
      <w:pPr>
        <w:spacing w:after="0" w:line="240" w:lineRule="auto"/>
        <w:jc w:val="both"/>
        <w:rPr>
          <w:rFonts w:ascii="Times New Roman" w:eastAsia="PMingLiU" w:hAnsi="Times New Roman" w:cs="Times New Roman"/>
          <w:color w:val="000000"/>
        </w:rPr>
      </w:pPr>
      <w:r>
        <w:rPr>
          <w:rFonts w:ascii="Times New Roman" w:eastAsia="PMingLiU" w:hAnsi="Times New Roman" w:cs="Times New Roman"/>
          <w:b/>
          <w:color w:val="000000"/>
        </w:rPr>
        <w:t>INDICATIONS AND USAGE:</w:t>
      </w:r>
      <w:r>
        <w:rPr>
          <w:rFonts w:ascii="Times New Roman" w:eastAsia="PMingLiU" w:hAnsi="Times New Roman" w:cs="Times New Roman"/>
          <w:color w:val="000000"/>
        </w:rPr>
        <w:t xml:space="preserve"> NERLYNX is a kinase inhibitor indicated for the extended adjuvant treatment of adult patients with early stage HER2 overexpressed/amplified breast cancer, to follow adjuvant trastuzumab-based therapy.</w:t>
      </w:r>
    </w:p>
    <w:p w:rsidR="004659AA" w:rsidRDefault="0076118F">
      <w:pPr>
        <w:spacing w:after="0" w:line="240" w:lineRule="auto"/>
        <w:jc w:val="both"/>
        <w:rPr>
          <w:rFonts w:ascii="Times New Roman" w:eastAsia="PMingLiU" w:hAnsi="Times New Roman" w:cs="Times New Roman"/>
          <w:color w:val="000000"/>
        </w:rPr>
      </w:pPr>
    </w:p>
    <w:p w:rsidR="004659AA" w:rsidRDefault="0020708D">
      <w:pPr>
        <w:spacing w:after="0" w:line="240" w:lineRule="auto"/>
        <w:jc w:val="both"/>
        <w:rPr>
          <w:rFonts w:ascii="Times New Roman" w:eastAsia="PMingLiU" w:hAnsi="Times New Roman" w:cs="Times New Roman"/>
          <w:color w:val="000000"/>
        </w:rPr>
      </w:pPr>
      <w:r>
        <w:rPr>
          <w:rFonts w:ascii="Times New Roman" w:eastAsia="PMingLiU" w:hAnsi="Times New Roman" w:cs="Times New Roman"/>
          <w:b/>
          <w:color w:val="000000"/>
        </w:rPr>
        <w:t>CONTRAINDICATIONS:</w:t>
      </w:r>
      <w:r>
        <w:rPr>
          <w:rFonts w:ascii="Times New Roman" w:eastAsia="PMingLiU" w:hAnsi="Times New Roman" w:cs="Times New Roman"/>
          <w:color w:val="000000"/>
        </w:rPr>
        <w:t xml:space="preserve"> None</w:t>
      </w:r>
    </w:p>
    <w:p w:rsidR="004659AA" w:rsidRDefault="0076118F">
      <w:pPr>
        <w:spacing w:after="0" w:line="240" w:lineRule="auto"/>
        <w:jc w:val="both"/>
        <w:rPr>
          <w:rFonts w:ascii="Times New Roman" w:eastAsia="PMingLiU" w:hAnsi="Times New Roman" w:cs="Times New Roman"/>
          <w:color w:val="000000"/>
        </w:rPr>
      </w:pPr>
    </w:p>
    <w:p w:rsidR="004659AA" w:rsidRDefault="0020708D">
      <w:pPr>
        <w:spacing w:after="0" w:line="240" w:lineRule="auto"/>
        <w:jc w:val="both"/>
        <w:rPr>
          <w:rFonts w:ascii="Times New Roman" w:eastAsia="PMingLiU" w:hAnsi="Times New Roman" w:cs="Times New Roman"/>
          <w:b/>
          <w:color w:val="000000"/>
        </w:rPr>
      </w:pPr>
      <w:r>
        <w:rPr>
          <w:rFonts w:ascii="Times New Roman" w:eastAsia="PMingLiU" w:hAnsi="Times New Roman" w:cs="Times New Roman"/>
          <w:b/>
          <w:color w:val="000000"/>
        </w:rPr>
        <w:t>WARNINGS AND PRECAUTIONS:</w:t>
      </w:r>
    </w:p>
    <w:p w:rsidR="004659AA" w:rsidRDefault="0076118F">
      <w:pPr>
        <w:spacing w:after="0" w:line="240" w:lineRule="auto"/>
        <w:jc w:val="both"/>
        <w:rPr>
          <w:rFonts w:ascii="Times New Roman" w:eastAsia="PMingLiU" w:hAnsi="Times New Roman" w:cs="Times New Roman"/>
          <w:b/>
          <w:color w:val="000000"/>
        </w:rPr>
      </w:pPr>
    </w:p>
    <w:p w:rsidR="004659AA" w:rsidRDefault="0020708D">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Diarrhea:</w:t>
      </w:r>
      <w:r>
        <w:rPr>
          <w:rFonts w:ascii="Times New Roman" w:eastAsia="PMingLiU" w:hAnsi="Times New Roman" w:cs="Times New Roman"/>
          <w:color w:val="000000"/>
        </w:rPr>
        <w:t xml:space="preserve"> Aggressively manage diarrhea occurring despite recommended prophylaxis with additional antidiarrheals, fluids, and electrolytes as clinically indicated. Withhold NERLYNX in patients experiencing severe and/or persistent diarrhea. Permanently discontinue NERLYNX in patients experiencing Grade 4 diarrhea or Grade ≥ 2 diarrhea that occurs after maximal dose reduction.</w:t>
      </w:r>
    </w:p>
    <w:p w:rsidR="004659AA" w:rsidRDefault="0076118F">
      <w:pPr>
        <w:spacing w:after="0" w:line="240" w:lineRule="auto"/>
        <w:jc w:val="both"/>
        <w:rPr>
          <w:rFonts w:ascii="Times New Roman" w:eastAsia="PMingLiU" w:hAnsi="Times New Roman" w:cs="Times New Roman"/>
          <w:color w:val="000000"/>
        </w:rPr>
      </w:pPr>
    </w:p>
    <w:p w:rsidR="004659AA" w:rsidRDefault="0020708D">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Hepatotoxicity:</w:t>
      </w:r>
      <w:r>
        <w:rPr>
          <w:rFonts w:ascii="Times New Roman" w:eastAsia="PMingLiU" w:hAnsi="Times New Roman" w:cs="Times New Roman"/>
          <w:color w:val="000000"/>
        </w:rPr>
        <w:t xml:space="preserve"> Monitor liver function tests monthly for the first 3 months of treatment, then every </w:t>
      </w:r>
    </w:p>
    <w:p w:rsidR="004659AA" w:rsidRDefault="0020708D">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3 months while on treatment and as clinically indicated. Withhold NERLYNX in patients experiencing Grade 3 liver abnormalities and permanently discontinue NERLYNX in patients experiencing Grade 4 liver abnormalities.</w:t>
      </w:r>
    </w:p>
    <w:p w:rsidR="004659AA" w:rsidRDefault="0076118F">
      <w:pPr>
        <w:spacing w:after="0" w:line="240" w:lineRule="auto"/>
        <w:jc w:val="both"/>
        <w:rPr>
          <w:rFonts w:ascii="Times New Roman" w:eastAsia="PMingLiU" w:hAnsi="Times New Roman" w:cs="Times New Roman"/>
          <w:color w:val="000000"/>
        </w:rPr>
      </w:pPr>
    </w:p>
    <w:p w:rsidR="004659AA" w:rsidRDefault="0020708D">
      <w:pPr>
        <w:spacing w:after="0" w:line="240" w:lineRule="auto"/>
        <w:jc w:val="both"/>
        <w:rPr>
          <w:rFonts w:ascii="Times New Roman" w:eastAsia="PMingLiU" w:hAnsi="Times New Roman" w:cs="Times New Roman"/>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Embryo-Fetal Toxicity:</w:t>
      </w:r>
      <w:r>
        <w:rPr>
          <w:rFonts w:ascii="Times New Roman" w:eastAsia="PMingLiU" w:hAnsi="Times New Roman" w:cs="Times New Roman"/>
          <w:color w:val="000000"/>
        </w:rPr>
        <w:t xml:space="preserve"> NERLYNX can cause fetal harm. Advise patients of potential risk to a fetus and to use effective contraception.</w:t>
      </w:r>
    </w:p>
    <w:p w:rsidR="004659AA" w:rsidRDefault="0076118F">
      <w:pPr>
        <w:spacing w:after="0" w:line="240" w:lineRule="auto"/>
        <w:jc w:val="both"/>
        <w:rPr>
          <w:rFonts w:ascii="Times New Roman" w:eastAsia="PMingLiU" w:hAnsi="Times New Roman" w:cs="Times New Roman"/>
        </w:rPr>
      </w:pPr>
    </w:p>
    <w:p w:rsidR="004659AA" w:rsidRDefault="0020708D">
      <w:pPr>
        <w:spacing w:after="0" w:line="240" w:lineRule="auto"/>
        <w:jc w:val="both"/>
        <w:rPr>
          <w:rFonts w:ascii="Times New Roman" w:eastAsia="PMingLiU" w:hAnsi="Times New Roman" w:cs="Times New Roman"/>
          <w:b/>
        </w:rPr>
      </w:pPr>
      <w:r>
        <w:rPr>
          <w:rFonts w:ascii="Times New Roman" w:eastAsia="PMingLiU" w:hAnsi="Times New Roman" w:cs="Times New Roman"/>
          <w:b/>
        </w:rPr>
        <w:t xml:space="preserve">ADVERSE REACTIONS: </w:t>
      </w:r>
      <w:r>
        <w:rPr>
          <w:rFonts w:ascii="Times New Roman" w:eastAsia="PMingLiU" w:hAnsi="Times New Roman" w:cs="Times New Roman"/>
        </w:rPr>
        <w:t xml:space="preserve">The most common adverse reactions (≥ 5%) were diarrhea, nausea, abdominal pain, fatigue, vomiting, rash, stomatitis, decreased appetite, muscle spasms, dyspepsia, AST or </w:t>
      </w:r>
      <w:r>
        <w:rPr>
          <w:rFonts w:ascii="Times New Roman" w:eastAsia="PMingLiU" w:hAnsi="Times New Roman" w:cs="Times New Roman"/>
        </w:rPr>
        <w:lastRenderedPageBreak/>
        <w:t>ALT increase, nail disorder, dry skin, abdominal distention, epistaxis, weight decreased and urinary tract infection.</w:t>
      </w:r>
    </w:p>
    <w:p w:rsidR="004659AA" w:rsidRDefault="0076118F">
      <w:pPr>
        <w:spacing w:after="0" w:line="240" w:lineRule="auto"/>
        <w:jc w:val="both"/>
        <w:rPr>
          <w:rFonts w:ascii="Times New Roman" w:eastAsia="PMingLiU" w:hAnsi="Times New Roman" w:cs="Times New Roman"/>
        </w:rPr>
      </w:pPr>
    </w:p>
    <w:p w:rsidR="004659AA" w:rsidRDefault="0020708D">
      <w:pPr>
        <w:spacing w:after="0" w:line="240" w:lineRule="auto"/>
        <w:jc w:val="both"/>
        <w:rPr>
          <w:rFonts w:ascii="Times New Roman" w:eastAsia="PMingLiU" w:hAnsi="Times New Roman" w:cs="Times New Roman"/>
          <w:b/>
          <w:bCs/>
          <w:color w:val="000000"/>
        </w:rPr>
      </w:pPr>
      <w:r>
        <w:rPr>
          <w:rFonts w:ascii="Times New Roman" w:eastAsia="PMingLiU" w:hAnsi="Times New Roman" w:cs="Times New Roman"/>
          <w:b/>
          <w:bCs/>
          <w:color w:val="000000"/>
        </w:rPr>
        <w:t xml:space="preserve">To report SUSPECTED ADVERSE REACTIONS, contact Puma Biotechnology, Inc. at </w:t>
      </w:r>
    </w:p>
    <w:p w:rsidR="004659AA" w:rsidRDefault="0020708D">
      <w:pPr>
        <w:spacing w:after="0" w:line="240" w:lineRule="auto"/>
        <w:jc w:val="both"/>
        <w:rPr>
          <w:rFonts w:ascii="Times New Roman" w:eastAsia="PMingLiU" w:hAnsi="Times New Roman" w:cs="Times New Roman"/>
          <w:b/>
          <w:bCs/>
          <w:color w:val="000000"/>
        </w:rPr>
      </w:pPr>
      <w:r>
        <w:rPr>
          <w:rFonts w:ascii="Times New Roman" w:eastAsia="PMingLiU" w:hAnsi="Times New Roman" w:cs="Times New Roman"/>
          <w:b/>
          <w:bCs/>
          <w:color w:val="000000"/>
        </w:rPr>
        <w:t xml:space="preserve">1-844-NERLYNX (1-844-637-5969) and www.NERLYNX.com or FDA at 1-800-FDA-1088 or </w:t>
      </w:r>
      <w:r>
        <w:rPr>
          <w:rFonts w:ascii="Times New Roman" w:eastAsia="PMingLiU" w:hAnsi="Times New Roman" w:cs="Times New Roman"/>
          <w:b/>
          <w:bCs/>
          <w:i/>
          <w:iCs/>
          <w:color w:val="000000"/>
        </w:rPr>
        <w:t>www.fda.gov/medwatch</w:t>
      </w:r>
      <w:r>
        <w:rPr>
          <w:rFonts w:ascii="Times New Roman" w:eastAsia="PMingLiU" w:hAnsi="Times New Roman" w:cs="Times New Roman"/>
          <w:b/>
          <w:bCs/>
          <w:color w:val="000000"/>
        </w:rPr>
        <w:t>.</w:t>
      </w:r>
    </w:p>
    <w:p w:rsidR="004659AA" w:rsidRDefault="0076118F">
      <w:pPr>
        <w:spacing w:after="0" w:line="240" w:lineRule="auto"/>
        <w:jc w:val="both"/>
        <w:rPr>
          <w:rFonts w:ascii="Times New Roman" w:eastAsia="PMingLiU" w:hAnsi="Times New Roman" w:cs="Times New Roman"/>
          <w:b/>
          <w:bCs/>
          <w:color w:val="000000"/>
        </w:rPr>
      </w:pPr>
    </w:p>
    <w:p w:rsidR="004659AA" w:rsidRDefault="0020708D">
      <w:pPr>
        <w:spacing w:after="0" w:line="240" w:lineRule="auto"/>
        <w:jc w:val="both"/>
        <w:rPr>
          <w:rFonts w:ascii="Times New Roman" w:eastAsia="PMingLiU" w:hAnsi="Times New Roman" w:cs="Times New Roman"/>
          <w:b/>
          <w:bCs/>
          <w:color w:val="000000"/>
        </w:rPr>
      </w:pPr>
      <w:r>
        <w:rPr>
          <w:rFonts w:ascii="Times New Roman" w:eastAsia="PMingLiU" w:hAnsi="Times New Roman" w:cs="Times New Roman"/>
          <w:b/>
          <w:bCs/>
          <w:color w:val="000000"/>
        </w:rPr>
        <w:t>DRUG INTERACTIONS:</w:t>
      </w:r>
    </w:p>
    <w:p w:rsidR="004659AA" w:rsidRDefault="0020708D">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Gastric acid reducing agents: Avoid concomitant use with proton pump inhibitors (PPI) and H2-receptor antagonists. Separate NERLYNX by at least 2 hours before or 10 hours after H2-receptor antagonists.</w:t>
      </w:r>
    </w:p>
    <w:p w:rsidR="004659AA" w:rsidRDefault="0020708D">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 xml:space="preserve">Strong or moderate CYP3A4 inhibitors: Avoid concomitant use. </w:t>
      </w:r>
    </w:p>
    <w:p w:rsidR="004659AA" w:rsidRDefault="0020708D">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Strong or moderate CYP3A4 inducers: Avoid concomitant use.</w:t>
      </w:r>
    </w:p>
    <w:p w:rsidR="004659AA" w:rsidRDefault="0020708D">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P-glycoprotein (P-</w:t>
      </w:r>
      <w:proofErr w:type="spellStart"/>
      <w:r>
        <w:rPr>
          <w:rFonts w:ascii="Times New Roman" w:eastAsiaTheme="minorEastAsia" w:hAnsi="Times New Roman" w:cs="Times New Roman"/>
          <w:bCs/>
          <w:color w:val="000000"/>
          <w:lang w:eastAsia="zh-TW"/>
        </w:rPr>
        <w:t>gp</w:t>
      </w:r>
      <w:proofErr w:type="spellEnd"/>
      <w:r>
        <w:rPr>
          <w:rFonts w:ascii="Times New Roman" w:eastAsiaTheme="minorEastAsia" w:hAnsi="Times New Roman" w:cs="Times New Roman"/>
          <w:bCs/>
          <w:color w:val="000000"/>
          <w:lang w:eastAsia="zh-TW"/>
        </w:rPr>
        <w:t>) substrates: Monitor for adverse reactions of narrow therapeutic agents that are P-</w:t>
      </w:r>
      <w:proofErr w:type="spellStart"/>
      <w:r>
        <w:rPr>
          <w:rFonts w:ascii="Times New Roman" w:eastAsiaTheme="minorEastAsia" w:hAnsi="Times New Roman" w:cs="Times New Roman"/>
          <w:bCs/>
          <w:color w:val="000000"/>
          <w:lang w:eastAsia="zh-TW"/>
        </w:rPr>
        <w:t>gp</w:t>
      </w:r>
      <w:proofErr w:type="spellEnd"/>
      <w:r>
        <w:rPr>
          <w:rFonts w:ascii="Times New Roman" w:eastAsiaTheme="minorEastAsia" w:hAnsi="Times New Roman" w:cs="Times New Roman"/>
          <w:bCs/>
          <w:color w:val="000000"/>
          <w:lang w:eastAsia="zh-TW"/>
        </w:rPr>
        <w:t xml:space="preserve"> substrates when used concomitantly with NERLYNX. </w:t>
      </w:r>
    </w:p>
    <w:p w:rsidR="004659AA" w:rsidRDefault="0076118F">
      <w:pPr>
        <w:spacing w:after="0" w:line="240" w:lineRule="auto"/>
        <w:jc w:val="both"/>
        <w:rPr>
          <w:rFonts w:ascii="Times New Roman" w:eastAsia="PMingLiU" w:hAnsi="Times New Roman" w:cs="Times New Roman"/>
          <w:bCs/>
          <w:color w:val="000000"/>
        </w:rPr>
      </w:pPr>
    </w:p>
    <w:p w:rsidR="004659AA" w:rsidRDefault="0020708D">
      <w:pPr>
        <w:spacing w:after="0" w:line="240" w:lineRule="auto"/>
        <w:jc w:val="both"/>
        <w:rPr>
          <w:rFonts w:ascii="Times New Roman" w:eastAsia="PMingLiU" w:hAnsi="Times New Roman" w:cs="Times New Roman"/>
          <w:b/>
          <w:bCs/>
          <w:color w:val="000000"/>
        </w:rPr>
      </w:pPr>
      <w:r>
        <w:rPr>
          <w:rFonts w:ascii="Times New Roman" w:eastAsia="PMingLiU" w:hAnsi="Times New Roman" w:cs="Times New Roman"/>
          <w:b/>
          <w:bCs/>
          <w:color w:val="000000"/>
        </w:rPr>
        <w:t>USE IN SPECIFIC POPULATIONS:</w:t>
      </w:r>
    </w:p>
    <w:p w:rsidR="004659AA" w:rsidRDefault="0020708D">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Lactation:</w:t>
      </w:r>
      <w:r>
        <w:rPr>
          <w:rFonts w:ascii="Times New Roman" w:eastAsia="PMingLiU" w:hAnsi="Times New Roman" w:cs="Times New Roman"/>
          <w:color w:val="000000"/>
        </w:rPr>
        <w:t xml:space="preserve"> Advise women not to breastfeed. </w:t>
      </w:r>
    </w:p>
    <w:p w:rsidR="004659AA" w:rsidRDefault="0076118F">
      <w:pPr>
        <w:spacing w:after="0" w:line="240" w:lineRule="auto"/>
        <w:jc w:val="both"/>
        <w:rPr>
          <w:rFonts w:ascii="Times New Roman" w:eastAsia="PMingLiU" w:hAnsi="Times New Roman" w:cs="Times New Roman"/>
          <w:color w:val="000000" w:themeColor="text1"/>
        </w:rPr>
      </w:pPr>
    </w:p>
    <w:p w:rsidR="004659AA" w:rsidRDefault="0020708D">
      <w:pPr>
        <w:spacing w:after="0" w:line="240" w:lineRule="auto"/>
        <w:jc w:val="both"/>
        <w:rPr>
          <w:rFonts w:ascii="Times New Roman" w:eastAsia="PMingLiU" w:hAnsi="Times New Roman" w:cs="Times New Roman"/>
          <w:color w:val="000000" w:themeColor="text1"/>
        </w:rPr>
      </w:pPr>
      <w:r>
        <w:rPr>
          <w:rFonts w:ascii="Times New Roman" w:eastAsia="PMingLiU" w:hAnsi="Times New Roman" w:cs="Times New Roman"/>
          <w:color w:val="000000" w:themeColor="text1"/>
        </w:rPr>
        <w:t xml:space="preserve">Please see </w:t>
      </w:r>
      <w:hyperlink r:id="rId10" w:history="1">
        <w:r>
          <w:rPr>
            <w:rFonts w:ascii="Times New Roman" w:eastAsia="PMingLiU" w:hAnsi="Times New Roman" w:cs="Times New Roman"/>
            <w:color w:val="0000FF"/>
            <w:u w:val="single"/>
          </w:rPr>
          <w:t>Full Prescribing Information</w:t>
        </w:r>
      </w:hyperlink>
      <w:r>
        <w:rPr>
          <w:rFonts w:ascii="Times New Roman" w:eastAsia="PMingLiU" w:hAnsi="Times New Roman" w:cs="Times New Roman"/>
          <w:color w:val="000000" w:themeColor="text1"/>
        </w:rPr>
        <w:t xml:space="preserve"> for additional safety information. </w:t>
      </w:r>
    </w:p>
    <w:p w:rsidR="004659AA" w:rsidRDefault="0076118F">
      <w:pPr>
        <w:autoSpaceDE/>
        <w:autoSpaceDN/>
        <w:adjustRightInd/>
        <w:spacing w:after="0" w:line="240" w:lineRule="auto"/>
        <w:rPr>
          <w:rFonts w:ascii="Times New Roman" w:eastAsia="Times New Roman" w:hAnsi="Times New Roman" w:cs="Times New Roman"/>
          <w:b/>
        </w:rPr>
      </w:pPr>
    </w:p>
    <w:p w:rsidR="004659AA" w:rsidRDefault="0020708D">
      <w:pPr>
        <w:autoSpaceDE/>
        <w:autoSpaceDN/>
        <w:adjustRightInd/>
        <w:spacing w:after="0" w:line="240" w:lineRule="auto"/>
        <w:rPr>
          <w:rFonts w:ascii="Times New Roman" w:eastAsia="Times New Roman" w:hAnsi="Times New Roman" w:cs="Times New Roman"/>
        </w:rPr>
      </w:pPr>
      <w:r>
        <w:rPr>
          <w:rFonts w:ascii="Times New Roman" w:eastAsia="Times New Roman" w:hAnsi="Times New Roman" w:cs="Times New Roman"/>
          <w:b/>
        </w:rPr>
        <w:t>For</w:t>
      </w:r>
      <w:r>
        <w:rPr>
          <w:rFonts w:ascii="Times New Roman" w:eastAsia="Times New Roman" w:hAnsi="Times New Roman" w:cs="Times New Roman"/>
          <w:b/>
          <w:spacing w:val="-2"/>
        </w:rPr>
        <w:t>w</w:t>
      </w:r>
      <w:r>
        <w:rPr>
          <w:rFonts w:ascii="Times New Roman" w:eastAsia="Times New Roman" w:hAnsi="Times New Roman" w:cs="Times New Roman"/>
          <w:b/>
        </w:rPr>
        <w:t>ard-Loo</w:t>
      </w:r>
      <w:r>
        <w:rPr>
          <w:rFonts w:ascii="Times New Roman" w:eastAsia="Times New Roman" w:hAnsi="Times New Roman" w:cs="Times New Roman"/>
          <w:b/>
          <w:spacing w:val="1"/>
        </w:rPr>
        <w:t>k</w:t>
      </w:r>
      <w:r>
        <w:rPr>
          <w:rFonts w:ascii="Times New Roman" w:eastAsia="Times New Roman" w:hAnsi="Times New Roman" w:cs="Times New Roman"/>
          <w:b/>
        </w:rPr>
        <w:t>ing Sta</w:t>
      </w:r>
      <w:r>
        <w:rPr>
          <w:rFonts w:ascii="Times New Roman" w:eastAsia="Times New Roman" w:hAnsi="Times New Roman" w:cs="Times New Roman"/>
          <w:b/>
          <w:spacing w:val="-1"/>
        </w:rPr>
        <w:t>t</w:t>
      </w:r>
      <w:r>
        <w:rPr>
          <w:rFonts w:ascii="Times New Roman" w:eastAsia="Times New Roman" w:hAnsi="Times New Roman" w:cs="Times New Roman"/>
          <w:b/>
        </w:rPr>
        <w:t>ements</w:t>
      </w:r>
    </w:p>
    <w:p w:rsidR="004659AA" w:rsidRDefault="0076118F">
      <w:pPr>
        <w:autoSpaceDE/>
        <w:autoSpaceDN/>
        <w:adjustRightInd/>
        <w:spacing w:after="0" w:line="240" w:lineRule="auto"/>
        <w:rPr>
          <w:rFonts w:ascii="Times New Roman" w:eastAsia="Times New Roman" w:hAnsi="Times New Roman" w:cs="Times New Roman"/>
        </w:rPr>
      </w:pPr>
    </w:p>
    <w:p w:rsidR="004659AA" w:rsidRDefault="0020708D">
      <w:pPr>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This press release contains forward-looking statements, including statements regarding Puma’s anticipated milestones for 2019. All forward-looking statements involve risks and uncertainties that could cause the Puma’s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risk factors disclosed in the periodic and current reports filed by Puma with the Securities and Exchange Commission from time to time, including Puma’s Annual Report on Form 10-K for the year ended December 31, 2018. Readers are cautioned not to place undue reliance on these forward-looking statements, which speak only as of the date hereof. Puma assumes no obligation to update these forward-looking statements, except as required by law.</w:t>
      </w:r>
    </w:p>
    <w:p w:rsidR="004659AA" w:rsidRDefault="0076118F">
      <w:pPr>
        <w:autoSpaceDE/>
        <w:autoSpaceDN/>
        <w:adjustRightInd/>
        <w:spacing w:after="0" w:line="240" w:lineRule="auto"/>
        <w:jc w:val="both"/>
        <w:rPr>
          <w:rFonts w:ascii="Times New Roman" w:eastAsia="Times New Roman" w:hAnsi="Times New Roman" w:cs="Times New Roman"/>
        </w:rPr>
      </w:pPr>
    </w:p>
    <w:p w:rsidR="004659AA" w:rsidRDefault="0020708D">
      <w:pPr>
        <w:autoSpaceDE/>
        <w:autoSpaceDN/>
        <w:adjustRightInd/>
        <w:spacing w:after="0" w:line="240" w:lineRule="auto"/>
        <w:ind w:right="-20"/>
        <w:rPr>
          <w:rFonts w:ascii="Times New Roman" w:eastAsia="Times New Roman" w:hAnsi="Times New Roman" w:cs="Times New Roman"/>
          <w:b/>
        </w:rPr>
      </w:pPr>
      <w:r>
        <w:rPr>
          <w:rFonts w:ascii="Times New Roman" w:eastAsia="Times New Roman" w:hAnsi="Times New Roman" w:cs="Times New Roman"/>
          <w:b/>
        </w:rPr>
        <w:t>Con</w:t>
      </w:r>
      <w:r>
        <w:rPr>
          <w:rFonts w:ascii="Times New Roman" w:eastAsia="Times New Roman" w:hAnsi="Times New Roman" w:cs="Times New Roman"/>
          <w:b/>
          <w:spacing w:val="-1"/>
        </w:rPr>
        <w:t>t</w:t>
      </w:r>
      <w:r>
        <w:rPr>
          <w:rFonts w:ascii="Times New Roman" w:eastAsia="Times New Roman" w:hAnsi="Times New Roman" w:cs="Times New Roman"/>
          <w:b/>
        </w:rPr>
        <w:t>acts:</w:t>
      </w:r>
    </w:p>
    <w:p w:rsidR="004659AA" w:rsidRDefault="0076118F">
      <w:pPr>
        <w:autoSpaceDE/>
        <w:autoSpaceDN/>
        <w:adjustRightInd/>
        <w:spacing w:after="0" w:line="240" w:lineRule="auto"/>
        <w:ind w:right="-20"/>
        <w:rPr>
          <w:rFonts w:ascii="Times New Roman" w:eastAsia="Times New Roman" w:hAnsi="Times New Roman" w:cs="Times New Roman"/>
          <w:sz w:val="24"/>
          <w:szCs w:val="24"/>
        </w:rPr>
      </w:pPr>
    </w:p>
    <w:p w:rsidR="004659AA" w:rsidRDefault="0020708D">
      <w:pPr>
        <w:autoSpaceDE/>
        <w:autoSpaceDN/>
        <w:adjustRightInd/>
        <w:spacing w:after="60" w:line="240" w:lineRule="auto"/>
        <w:rPr>
          <w:rFonts w:ascii="Times New Roman" w:eastAsia="Times New Roman" w:hAnsi="Times New Roman" w:cs="Times New Roman"/>
        </w:rPr>
      </w:pPr>
      <w:r>
        <w:rPr>
          <w:rFonts w:ascii="Times New Roman" w:eastAsia="Times New Roman" w:hAnsi="Times New Roman" w:cs="Times New Roman"/>
        </w:rPr>
        <w:t>Alan H.</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e</w:t>
      </w:r>
      <w:r>
        <w:rPr>
          <w:rFonts w:ascii="Times New Roman" w:eastAsia="Times New Roman" w:hAnsi="Times New Roman" w:cs="Times New Roman"/>
        </w:rPr>
        <w:t>rbach or 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nn Ohanes</w:t>
      </w:r>
      <w:r>
        <w:rPr>
          <w:rFonts w:ascii="Times New Roman" w:eastAsia="Times New Roman" w:hAnsi="Times New Roman" w:cs="Times New Roman"/>
          <w:spacing w:val="-1"/>
        </w:rPr>
        <w:t>i</w:t>
      </w:r>
      <w:r>
        <w:rPr>
          <w:rFonts w:ascii="Times New Roman" w:eastAsia="Times New Roman" w:hAnsi="Times New Roman" w:cs="Times New Roman"/>
        </w:rPr>
        <w:t>an, Pu</w:t>
      </w:r>
      <w:r>
        <w:rPr>
          <w:rFonts w:ascii="Times New Roman" w:eastAsia="Times New Roman" w:hAnsi="Times New Roman" w:cs="Times New Roman"/>
          <w:spacing w:val="-2"/>
        </w:rPr>
        <w:t>m</w:t>
      </w:r>
      <w:r>
        <w:rPr>
          <w:rFonts w:ascii="Times New Roman" w:eastAsia="Times New Roman" w:hAnsi="Times New Roman" w:cs="Times New Roman"/>
        </w:rPr>
        <w:t>a B</w:t>
      </w:r>
      <w:r>
        <w:rPr>
          <w:rFonts w:ascii="Times New Roman" w:eastAsia="Times New Roman" w:hAnsi="Times New Roman" w:cs="Times New Roman"/>
          <w:spacing w:val="-1"/>
        </w:rPr>
        <w:t>i</w:t>
      </w:r>
      <w:r>
        <w:rPr>
          <w:rFonts w:ascii="Times New Roman" w:eastAsia="Times New Roman" w:hAnsi="Times New Roman" w:cs="Times New Roman"/>
        </w:rPr>
        <w:t>ot</w:t>
      </w:r>
      <w:r>
        <w:rPr>
          <w:rFonts w:ascii="Times New Roman" w:eastAsia="Times New Roman" w:hAnsi="Times New Roman" w:cs="Times New Roman"/>
          <w:spacing w:val="-1"/>
        </w:rPr>
        <w:t>e</w:t>
      </w:r>
      <w:r>
        <w:rPr>
          <w:rFonts w:ascii="Times New Roman" w:eastAsia="Times New Roman" w:hAnsi="Times New Roman" w:cs="Times New Roman"/>
        </w:rPr>
        <w:t>chno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g</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Inc., +1 424</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248 6500 </w:t>
      </w:r>
    </w:p>
    <w:p w:rsidR="004659AA" w:rsidRDefault="0076118F">
      <w:pPr>
        <w:autoSpaceDE/>
        <w:autoSpaceDN/>
        <w:adjustRightInd/>
        <w:spacing w:after="60" w:line="240" w:lineRule="auto"/>
        <w:ind w:right="1085"/>
        <w:rPr>
          <w:rFonts w:ascii="Times New Roman" w:eastAsia="Times New Roman" w:hAnsi="Times New Roman" w:cs="Times New Roman"/>
        </w:rPr>
      </w:pPr>
      <w:hyperlink r:id="rId11" w:history="1">
        <w:r w:rsidR="0020708D">
          <w:rPr>
            <w:rFonts w:ascii="Times New Roman" w:eastAsia="Times New Roman" w:hAnsi="Times New Roman" w:cs="Times New Roman"/>
            <w:color w:val="000000"/>
            <w:u w:color="0000FF"/>
          </w:rPr>
          <w:t>info@pu</w:t>
        </w:r>
        <w:r w:rsidR="0020708D">
          <w:rPr>
            <w:rFonts w:ascii="Times New Roman" w:eastAsia="Times New Roman" w:hAnsi="Times New Roman" w:cs="Times New Roman"/>
            <w:color w:val="000000"/>
            <w:spacing w:val="-2"/>
            <w:u w:color="0000FF"/>
          </w:rPr>
          <w:t>m</w:t>
        </w:r>
        <w:r w:rsidR="0020708D">
          <w:rPr>
            <w:rFonts w:ascii="Times New Roman" w:eastAsia="Times New Roman" w:hAnsi="Times New Roman" w:cs="Times New Roman"/>
            <w:color w:val="000000"/>
            <w:u w:color="0000FF"/>
          </w:rPr>
          <w:t>ab</w:t>
        </w:r>
        <w:r w:rsidR="0020708D">
          <w:rPr>
            <w:rFonts w:ascii="Times New Roman" w:eastAsia="Times New Roman" w:hAnsi="Times New Roman" w:cs="Times New Roman"/>
            <w:color w:val="000000"/>
            <w:spacing w:val="-1"/>
            <w:u w:color="0000FF"/>
          </w:rPr>
          <w:t>i</w:t>
        </w:r>
        <w:r w:rsidR="0020708D">
          <w:rPr>
            <w:rFonts w:ascii="Times New Roman" w:eastAsia="Times New Roman" w:hAnsi="Times New Roman" w:cs="Times New Roman"/>
            <w:color w:val="000000"/>
            <w:u w:color="0000FF"/>
          </w:rPr>
          <w:t>ot</w:t>
        </w:r>
        <w:r w:rsidR="0020708D">
          <w:rPr>
            <w:rFonts w:ascii="Times New Roman" w:eastAsia="Times New Roman" w:hAnsi="Times New Roman" w:cs="Times New Roman"/>
            <w:color w:val="000000"/>
            <w:spacing w:val="-1"/>
            <w:u w:color="0000FF"/>
          </w:rPr>
          <w:t>e</w:t>
        </w:r>
        <w:r w:rsidR="0020708D">
          <w:rPr>
            <w:rFonts w:ascii="Times New Roman" w:eastAsia="Times New Roman" w:hAnsi="Times New Roman" w:cs="Times New Roman"/>
            <w:color w:val="000000"/>
            <w:u w:color="0000FF"/>
          </w:rPr>
          <w:t>chno</w:t>
        </w:r>
        <w:r w:rsidR="0020708D">
          <w:rPr>
            <w:rFonts w:ascii="Times New Roman" w:eastAsia="Times New Roman" w:hAnsi="Times New Roman" w:cs="Times New Roman"/>
            <w:color w:val="000000"/>
            <w:spacing w:val="-1"/>
            <w:u w:color="0000FF"/>
          </w:rPr>
          <w:t>l</w:t>
        </w:r>
        <w:r w:rsidR="0020708D">
          <w:rPr>
            <w:rFonts w:ascii="Times New Roman" w:eastAsia="Times New Roman" w:hAnsi="Times New Roman" w:cs="Times New Roman"/>
            <w:color w:val="000000"/>
            <w:u w:color="0000FF"/>
          </w:rPr>
          <w:t>ogy.com</w:t>
        </w:r>
      </w:hyperlink>
    </w:p>
    <w:p w:rsidR="004659AA" w:rsidRDefault="0076118F">
      <w:pPr>
        <w:autoSpaceDE/>
        <w:autoSpaceDN/>
        <w:adjustRightInd/>
        <w:spacing w:after="60" w:line="240" w:lineRule="auto"/>
        <w:ind w:right="-20"/>
        <w:rPr>
          <w:rFonts w:ascii="Times New Roman" w:eastAsia="Times New Roman" w:hAnsi="Times New Roman" w:cs="Times New Roman"/>
        </w:rPr>
      </w:pPr>
      <w:hyperlink r:id="rId12" w:history="1">
        <w:r w:rsidR="0020708D">
          <w:rPr>
            <w:rFonts w:ascii="Times New Roman" w:eastAsia="Times New Roman" w:hAnsi="Times New Roman" w:cs="Times New Roman"/>
            <w:color w:val="000000"/>
            <w:position w:val="-1"/>
            <w:u w:color="0000FF"/>
          </w:rPr>
          <w:t>ir@pu</w:t>
        </w:r>
        <w:r w:rsidR="0020708D">
          <w:rPr>
            <w:rFonts w:ascii="Times New Roman" w:eastAsia="Times New Roman" w:hAnsi="Times New Roman" w:cs="Times New Roman"/>
            <w:color w:val="000000"/>
            <w:spacing w:val="-2"/>
            <w:position w:val="-1"/>
            <w:u w:color="0000FF"/>
          </w:rPr>
          <w:t>m</w:t>
        </w:r>
        <w:r w:rsidR="0020708D">
          <w:rPr>
            <w:rFonts w:ascii="Times New Roman" w:eastAsia="Times New Roman" w:hAnsi="Times New Roman" w:cs="Times New Roman"/>
            <w:color w:val="000000"/>
            <w:position w:val="-1"/>
            <w:u w:color="0000FF"/>
          </w:rPr>
          <w:t>ab</w:t>
        </w:r>
        <w:r w:rsidR="0020708D">
          <w:rPr>
            <w:rFonts w:ascii="Times New Roman" w:eastAsia="Times New Roman" w:hAnsi="Times New Roman" w:cs="Times New Roman"/>
            <w:color w:val="000000"/>
            <w:spacing w:val="-1"/>
            <w:position w:val="-1"/>
            <w:u w:color="0000FF"/>
          </w:rPr>
          <w:t>i</w:t>
        </w:r>
        <w:r w:rsidR="0020708D">
          <w:rPr>
            <w:rFonts w:ascii="Times New Roman" w:eastAsia="Times New Roman" w:hAnsi="Times New Roman" w:cs="Times New Roman"/>
            <w:color w:val="000000"/>
            <w:position w:val="-1"/>
            <w:u w:color="0000FF"/>
          </w:rPr>
          <w:t>otechno</w:t>
        </w:r>
        <w:r w:rsidR="0020708D">
          <w:rPr>
            <w:rFonts w:ascii="Times New Roman" w:eastAsia="Times New Roman" w:hAnsi="Times New Roman" w:cs="Times New Roman"/>
            <w:color w:val="000000"/>
            <w:spacing w:val="-1"/>
            <w:position w:val="-1"/>
            <w:u w:color="0000FF"/>
          </w:rPr>
          <w:t>l</w:t>
        </w:r>
        <w:r w:rsidR="0020708D">
          <w:rPr>
            <w:rFonts w:ascii="Times New Roman" w:eastAsia="Times New Roman" w:hAnsi="Times New Roman" w:cs="Times New Roman"/>
            <w:color w:val="000000"/>
            <w:position w:val="-1"/>
            <w:u w:color="0000FF"/>
          </w:rPr>
          <w:t>o</w:t>
        </w:r>
        <w:r w:rsidR="0020708D">
          <w:rPr>
            <w:rFonts w:ascii="Times New Roman" w:eastAsia="Times New Roman" w:hAnsi="Times New Roman" w:cs="Times New Roman"/>
            <w:color w:val="000000"/>
            <w:spacing w:val="-1"/>
            <w:position w:val="-1"/>
            <w:u w:color="0000FF"/>
          </w:rPr>
          <w:t>g</w:t>
        </w:r>
        <w:r w:rsidR="0020708D">
          <w:rPr>
            <w:rFonts w:ascii="Times New Roman" w:eastAsia="Times New Roman" w:hAnsi="Times New Roman" w:cs="Times New Roman"/>
            <w:color w:val="000000"/>
            <w:spacing w:val="1"/>
            <w:position w:val="-1"/>
            <w:u w:color="0000FF"/>
          </w:rPr>
          <w:t>y</w:t>
        </w:r>
        <w:r w:rsidR="0020708D">
          <w:rPr>
            <w:rFonts w:ascii="Times New Roman" w:eastAsia="Times New Roman" w:hAnsi="Times New Roman" w:cs="Times New Roman"/>
            <w:color w:val="000000"/>
            <w:position w:val="-1"/>
            <w:u w:color="0000FF"/>
          </w:rPr>
          <w:t>.</w:t>
        </w:r>
        <w:r w:rsidR="0020708D">
          <w:rPr>
            <w:rFonts w:ascii="Times New Roman" w:eastAsia="Times New Roman" w:hAnsi="Times New Roman" w:cs="Times New Roman"/>
            <w:color w:val="000000"/>
            <w:spacing w:val="-2"/>
            <w:position w:val="-1"/>
            <w:u w:color="0000FF"/>
          </w:rPr>
          <w:t>c</w:t>
        </w:r>
        <w:r w:rsidR="0020708D">
          <w:rPr>
            <w:rFonts w:ascii="Times New Roman" w:eastAsia="Times New Roman" w:hAnsi="Times New Roman" w:cs="Times New Roman"/>
            <w:color w:val="000000"/>
            <w:position w:val="-1"/>
            <w:u w:color="0000FF"/>
          </w:rPr>
          <w:t>om</w:t>
        </w:r>
      </w:hyperlink>
    </w:p>
    <w:p w:rsidR="004659AA" w:rsidRDefault="0076118F">
      <w:pPr>
        <w:autoSpaceDE/>
        <w:autoSpaceDN/>
        <w:adjustRightInd/>
        <w:spacing w:after="0" w:line="240" w:lineRule="auto"/>
        <w:rPr>
          <w:rFonts w:ascii="Times New Roman" w:eastAsia="Times New Roman" w:hAnsi="Times New Roman" w:cs="Times New Roman"/>
        </w:rPr>
      </w:pPr>
    </w:p>
    <w:p w:rsidR="004659AA" w:rsidRDefault="0020708D">
      <w:pPr>
        <w:autoSpaceDE/>
        <w:autoSpaceDN/>
        <w:adjustRightInd/>
        <w:spacing w:after="60" w:line="240" w:lineRule="auto"/>
        <w:ind w:right="-20"/>
        <w:rPr>
          <w:rFonts w:ascii="Times New Roman" w:eastAsia="Times New Roman" w:hAnsi="Times New Roman" w:cs="Times New Roman"/>
        </w:rPr>
      </w:pPr>
      <w:r>
        <w:rPr>
          <w:rFonts w:ascii="Times New Roman" w:eastAsia="Times New Roman" w:hAnsi="Times New Roman" w:cs="Times New Roman"/>
        </w:rPr>
        <w:t xml:space="preserve">David </w:t>
      </w:r>
      <w:r>
        <w:rPr>
          <w:rFonts w:ascii="Times New Roman" w:eastAsia="Times New Roman" w:hAnsi="Times New Roman" w:cs="Times New Roman"/>
          <w:spacing w:val="-1"/>
        </w:rPr>
        <w:t>S</w:t>
      </w:r>
      <w:r>
        <w:rPr>
          <w:rFonts w:ascii="Times New Roman" w:eastAsia="Times New Roman" w:hAnsi="Times New Roman" w:cs="Times New Roman"/>
        </w:rPr>
        <w:t>chu</w:t>
      </w:r>
      <w:r>
        <w:rPr>
          <w:rFonts w:ascii="Times New Roman" w:eastAsia="Times New Roman" w:hAnsi="Times New Roman" w:cs="Times New Roman"/>
          <w:spacing w:val="-1"/>
        </w:rPr>
        <w:t>l</w:t>
      </w:r>
      <w:r>
        <w:rPr>
          <w:rFonts w:ascii="Times New Roman" w:eastAsia="Times New Roman" w:hAnsi="Times New Roman" w:cs="Times New Roman"/>
        </w:rPr>
        <w:t>l, Russo</w:t>
      </w:r>
      <w:r>
        <w:rPr>
          <w:rFonts w:ascii="Times New Roman" w:eastAsia="Times New Roman" w:hAnsi="Times New Roman" w:cs="Times New Roman"/>
          <w:spacing w:val="-1"/>
        </w:rPr>
        <w:t xml:space="preserve"> </w:t>
      </w:r>
      <w:r>
        <w:rPr>
          <w:rFonts w:ascii="Times New Roman" w:eastAsia="Times New Roman" w:hAnsi="Times New Roman" w:cs="Times New Roman"/>
        </w:rPr>
        <w:t>Partners, +1</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212 845 </w:t>
      </w:r>
      <w:r>
        <w:rPr>
          <w:rFonts w:ascii="Times New Roman" w:eastAsia="Times New Roman" w:hAnsi="Times New Roman" w:cs="Times New Roman"/>
          <w:spacing w:val="-1"/>
        </w:rPr>
        <w:t>4</w:t>
      </w:r>
      <w:r>
        <w:rPr>
          <w:rFonts w:ascii="Times New Roman" w:eastAsia="Times New Roman" w:hAnsi="Times New Roman" w:cs="Times New Roman"/>
        </w:rPr>
        <w:t xml:space="preserve">271 </w:t>
      </w:r>
    </w:p>
    <w:p w:rsidR="004659AA" w:rsidRDefault="0076118F">
      <w:pPr>
        <w:autoSpaceDE/>
        <w:autoSpaceDN/>
        <w:adjustRightInd/>
        <w:spacing w:after="60" w:line="240" w:lineRule="auto"/>
        <w:ind w:right="-20"/>
      </w:pPr>
      <w:hyperlink r:id="rId13" w:history="1">
        <w:r w:rsidR="0020708D">
          <w:rPr>
            <w:rFonts w:ascii="Times New Roman" w:eastAsia="Times New Roman" w:hAnsi="Times New Roman" w:cs="Times New Roman"/>
            <w:color w:val="000000"/>
            <w:u w:color="0000FF"/>
          </w:rPr>
          <w:t>dav</w:t>
        </w:r>
        <w:r w:rsidR="0020708D">
          <w:rPr>
            <w:rFonts w:ascii="Times New Roman" w:eastAsia="Times New Roman" w:hAnsi="Times New Roman" w:cs="Times New Roman"/>
            <w:color w:val="000000"/>
            <w:spacing w:val="-1"/>
            <w:u w:color="0000FF"/>
          </w:rPr>
          <w:t>i</w:t>
        </w:r>
        <w:r w:rsidR="0020708D">
          <w:rPr>
            <w:rFonts w:ascii="Times New Roman" w:eastAsia="Times New Roman" w:hAnsi="Times New Roman" w:cs="Times New Roman"/>
            <w:color w:val="000000"/>
            <w:u w:color="0000FF"/>
          </w:rPr>
          <w:t>d.schul</w:t>
        </w:r>
        <w:r w:rsidR="0020708D">
          <w:rPr>
            <w:rFonts w:ascii="Times New Roman" w:eastAsia="Times New Roman" w:hAnsi="Times New Roman" w:cs="Times New Roman"/>
            <w:color w:val="000000"/>
            <w:spacing w:val="-1"/>
            <w:u w:color="0000FF"/>
          </w:rPr>
          <w:t>l</w:t>
        </w:r>
        <w:r w:rsidR="0020708D">
          <w:rPr>
            <w:rFonts w:ascii="Times New Roman" w:eastAsia="Times New Roman" w:hAnsi="Times New Roman" w:cs="Times New Roman"/>
            <w:color w:val="000000"/>
            <w:u w:color="0000FF"/>
          </w:rPr>
          <w:t>@russopar</w:t>
        </w:r>
        <w:r w:rsidR="0020708D">
          <w:rPr>
            <w:rFonts w:ascii="Times New Roman" w:eastAsia="Times New Roman" w:hAnsi="Times New Roman" w:cs="Times New Roman"/>
            <w:color w:val="000000"/>
            <w:spacing w:val="-1"/>
            <w:u w:color="0000FF"/>
          </w:rPr>
          <w:t>tn</w:t>
        </w:r>
        <w:r w:rsidR="0020708D">
          <w:rPr>
            <w:rFonts w:ascii="Times New Roman" w:eastAsia="Times New Roman" w:hAnsi="Times New Roman" w:cs="Times New Roman"/>
            <w:color w:val="000000"/>
            <w:u w:color="0000FF"/>
          </w:rPr>
          <w:t>ersl</w:t>
        </w:r>
        <w:r w:rsidR="0020708D">
          <w:rPr>
            <w:rFonts w:ascii="Times New Roman" w:eastAsia="Times New Roman" w:hAnsi="Times New Roman" w:cs="Times New Roman"/>
            <w:color w:val="000000"/>
            <w:spacing w:val="-1"/>
            <w:u w:color="0000FF"/>
          </w:rPr>
          <w:t>l</w:t>
        </w:r>
        <w:r w:rsidR="0020708D">
          <w:rPr>
            <w:rFonts w:ascii="Times New Roman" w:eastAsia="Times New Roman" w:hAnsi="Times New Roman" w:cs="Times New Roman"/>
            <w:color w:val="000000"/>
            <w:u w:color="0000FF"/>
          </w:rPr>
          <w:t>c.com</w:t>
        </w:r>
      </w:hyperlink>
    </w:p>
    <w:p w:rsidR="004659AA" w:rsidRDefault="0076118F">
      <w:pPr>
        <w:autoSpaceDE/>
        <w:autoSpaceDN/>
        <w:adjustRightInd/>
        <w:spacing w:after="0" w:line="240" w:lineRule="auto"/>
        <w:ind w:left="100" w:right="-20"/>
        <w:jc w:val="center"/>
        <w:rPr>
          <w:rFonts w:ascii="Times New Roman" w:eastAsia="Times New Roman" w:hAnsi="Times New Roman" w:cs="Times New Roman"/>
          <w:b/>
        </w:rPr>
      </w:pPr>
    </w:p>
    <w:p w:rsidR="004659AA" w:rsidRDefault="0020708D">
      <w:pPr>
        <w:autoSpaceDE/>
        <w:autoSpaceDN/>
        <w:adjustRightInd/>
        <w:spacing w:after="0" w:line="240" w:lineRule="auto"/>
        <w:ind w:left="100" w:right="-20"/>
        <w:jc w:val="center"/>
        <w:rPr>
          <w:rFonts w:ascii="Times New Roman" w:eastAsia="Times New Roman" w:hAnsi="Times New Roman" w:cs="Times New Roman"/>
          <w:b/>
        </w:rPr>
      </w:pPr>
      <w:r>
        <w:rPr>
          <w:rFonts w:ascii="Times New Roman" w:eastAsia="Times New Roman" w:hAnsi="Times New Roman" w:cs="Times New Roman"/>
          <w:b/>
        </w:rPr>
        <w:t># # # # #</w:t>
      </w:r>
    </w:p>
    <w:p w:rsidR="004659AA" w:rsidRDefault="0076118F">
      <w:pPr>
        <w:autoSpaceDE/>
        <w:autoSpaceDN/>
        <w:adjustRightInd/>
        <w:spacing w:after="0" w:line="240" w:lineRule="auto"/>
        <w:ind w:left="100" w:right="-20"/>
        <w:jc w:val="center"/>
        <w:rPr>
          <w:rFonts w:ascii="Times New Roman" w:eastAsia="Times New Roman" w:hAnsi="Times New Roman" w:cs="Times New Roman"/>
          <w:b/>
        </w:rPr>
      </w:pPr>
    </w:p>
    <w:p w:rsidR="004659AA" w:rsidRDefault="0020708D">
      <w:pPr>
        <w:autoSpaceDE/>
        <w:autoSpaceDN/>
        <w:adjustRightInd/>
        <w:spacing w:after="0" w:line="240" w:lineRule="auto"/>
        <w:ind w:left="100" w:right="-20"/>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i/>
        </w:rPr>
        <w:t>Financial Tables Follow</w:t>
      </w:r>
      <w:r>
        <w:rPr>
          <w:rFonts w:ascii="Times New Roman" w:eastAsia="Times New Roman" w:hAnsi="Times New Roman" w:cs="Times New Roman"/>
          <w:b/>
        </w:rPr>
        <w:t>)</w:t>
      </w:r>
    </w:p>
    <w:p w:rsidR="00DE196E" w:rsidRDefault="0020708D">
      <w:pPr>
        <w:widowControl/>
        <w:autoSpaceDE/>
        <w:autoSpaceDN/>
        <w:adjustRightInd/>
        <w:spacing w:after="0" w:line="240" w:lineRule="auto"/>
        <w:rPr>
          <w:rFonts w:ascii="Times New Roman" w:eastAsia="Times New Roman" w:hAnsi="Times New Roman" w:cs="Times New Roman"/>
          <w:b/>
        </w:rPr>
      </w:pPr>
      <w:r>
        <w:rPr>
          <w:rFonts w:ascii="Times New Roman" w:eastAsia="Times New Roman" w:hAnsi="Times New Roman" w:cs="Times New Roman"/>
          <w:b/>
        </w:rPr>
        <w:br w:type="page"/>
      </w:r>
    </w:p>
    <w:p w:rsidR="000C0FFB" w:rsidRDefault="000C0FFB" w:rsidP="000C0FFB">
      <w:pPr>
        <w:widowControl/>
        <w:autoSpaceDE/>
        <w:autoSpaceDN/>
        <w:adjustRightInd/>
        <w:spacing w:after="0" w:line="240" w:lineRule="auto"/>
        <w:jc w:val="center"/>
        <w:rPr>
          <w:rFonts w:ascii="Times New Roman" w:eastAsia="Times New Roman" w:hAnsi="Times New Roman" w:cs="Times New Roman"/>
          <w:b/>
        </w:rPr>
      </w:pPr>
      <w:r w:rsidRPr="000C0FFB">
        <w:rPr>
          <w:noProof/>
        </w:rPr>
        <w:lastRenderedPageBreak/>
        <w:drawing>
          <wp:inline distT="0" distB="0" distL="0" distR="0" wp14:anchorId="55D8F18C" wp14:editId="7EB7763A">
            <wp:extent cx="5943600" cy="776575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765755"/>
                    </a:xfrm>
                    <a:prstGeom prst="rect">
                      <a:avLst/>
                    </a:prstGeom>
                    <a:noFill/>
                    <a:ln>
                      <a:noFill/>
                    </a:ln>
                  </pic:spPr>
                </pic:pic>
              </a:graphicData>
            </a:graphic>
          </wp:inline>
        </w:drawing>
      </w:r>
    </w:p>
    <w:p w:rsidR="002D06B0" w:rsidRDefault="0076118F">
      <w:pPr>
        <w:autoSpaceDE/>
        <w:autoSpaceDN/>
        <w:adjustRightInd/>
        <w:spacing w:after="0" w:line="240" w:lineRule="auto"/>
        <w:ind w:left="100" w:right="-20"/>
        <w:jc w:val="center"/>
        <w:rPr>
          <w:rFonts w:ascii="Times New Roman" w:eastAsia="Times New Roman" w:hAnsi="Times New Roman" w:cs="Times New Roman"/>
          <w:b/>
        </w:rPr>
      </w:pPr>
    </w:p>
    <w:p w:rsidR="00FC1FC2" w:rsidRDefault="00FC1FC2">
      <w:pPr>
        <w:autoSpaceDE/>
        <w:autoSpaceDN/>
        <w:adjustRightInd/>
        <w:spacing w:after="0" w:line="240" w:lineRule="auto"/>
        <w:ind w:left="100" w:right="-20"/>
        <w:jc w:val="center"/>
        <w:rPr>
          <w:rFonts w:ascii="Times New Roman" w:eastAsia="Times New Roman" w:hAnsi="Times New Roman" w:cs="Times New Roman"/>
          <w:b/>
        </w:rPr>
      </w:pPr>
    </w:p>
    <w:p w:rsidR="004659AA" w:rsidRDefault="0020708D" w:rsidP="008D0ECC">
      <w:pPr>
        <w:autoSpaceDE/>
        <w:autoSpaceDN/>
        <w:adjustRightInd/>
        <w:spacing w:after="0" w:line="240" w:lineRule="auto"/>
        <w:ind w:left="100" w:right="-2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5720B5" w:rsidRDefault="0076118F">
      <w:pPr>
        <w:autoSpaceDE/>
        <w:autoSpaceDN/>
        <w:adjustRightInd/>
        <w:spacing w:after="0" w:line="240" w:lineRule="auto"/>
        <w:ind w:right="-20"/>
        <w:rPr>
          <w:rFonts w:ascii="Times New Roman" w:eastAsia="Times New Roman" w:hAnsi="Times New Roman" w:cs="Times New Roman"/>
          <w:b/>
        </w:rPr>
      </w:pPr>
    </w:p>
    <w:p w:rsidR="005720B5" w:rsidRDefault="0076118F">
      <w:pPr>
        <w:autoSpaceDE/>
        <w:autoSpaceDN/>
        <w:adjustRightInd/>
        <w:spacing w:after="0" w:line="240" w:lineRule="auto"/>
        <w:ind w:right="-20"/>
        <w:rPr>
          <w:rFonts w:ascii="Times New Roman" w:eastAsia="Times New Roman" w:hAnsi="Times New Roman" w:cs="Times New Roman"/>
          <w:b/>
        </w:rPr>
      </w:pPr>
    </w:p>
    <w:p w:rsidR="005720B5" w:rsidRDefault="0076118F">
      <w:pPr>
        <w:autoSpaceDE/>
        <w:autoSpaceDN/>
        <w:adjustRightInd/>
        <w:spacing w:after="0" w:line="240" w:lineRule="auto"/>
        <w:ind w:right="-20"/>
        <w:rPr>
          <w:rFonts w:ascii="Times New Roman" w:eastAsia="Times New Roman" w:hAnsi="Times New Roman" w:cs="Times New Roman"/>
          <w:b/>
        </w:rPr>
      </w:pPr>
    </w:p>
    <w:p w:rsidR="004659AA" w:rsidRDefault="0020708D">
      <w:pPr>
        <w:autoSpaceDE/>
        <w:autoSpaceDN/>
        <w:adjustRightInd/>
        <w:spacing w:after="0" w:line="240" w:lineRule="auto"/>
        <w:ind w:right="-20"/>
        <w:rPr>
          <w:rFonts w:ascii="Times New Roman" w:eastAsia="Times New Roman" w:hAnsi="Times New Roman" w:cs="Times New Roman"/>
          <w:b/>
        </w:rPr>
      </w:pPr>
      <w:r>
        <w:rPr>
          <w:rFonts w:ascii="Times New Roman" w:eastAsia="Times New Roman" w:hAnsi="Times New Roman" w:cs="Times New Roman"/>
          <w:b/>
        </w:rPr>
        <w:t>Non-GAAP Financial Measures</w:t>
      </w:r>
    </w:p>
    <w:p w:rsidR="004659AA" w:rsidRDefault="0076118F">
      <w:pPr>
        <w:widowControl/>
        <w:autoSpaceDE/>
        <w:autoSpaceDN/>
        <w:adjustRightInd/>
        <w:spacing w:after="0" w:line="240" w:lineRule="auto"/>
        <w:rPr>
          <w:rFonts w:ascii="Times New Roman" w:eastAsia="Times New Roman" w:hAnsi="Times New Roman" w:cs="Times New Roman"/>
          <w:b/>
        </w:rPr>
      </w:pPr>
    </w:p>
    <w:p w:rsidR="000F3A35" w:rsidRDefault="0020708D" w:rsidP="000F3A35">
      <w:pPr>
        <w:widowControl/>
        <w:spacing w:after="0" w:line="240" w:lineRule="auto"/>
        <w:jc w:val="both"/>
        <w:rPr>
          <w:rFonts w:ascii="Times New Roman" w:eastAsia="Times New Roman" w:hAnsi="Times New Roman" w:cs="Times New Roman"/>
        </w:rPr>
      </w:pPr>
      <w:r>
        <w:rPr>
          <w:rFonts w:ascii="Times New Roman" w:hAnsi="Times New Roman" w:cs="Times New Roman"/>
        </w:rPr>
        <w:t xml:space="preserve">In addition to operating results as calculated in accordance with GAAP, Puma uses certain non-GAAP financial measures when planning, monitoring, and evaluating operational performance. The following table presents the Company’s net loss and net loss per share calculated in accordance with GAAP and as adjusted to remove the impact of employee stock-based compensation. For the three months and </w:t>
      </w:r>
      <w:r w:rsidRPr="0031745D">
        <w:rPr>
          <w:rFonts w:ascii="Times New Roman" w:hAnsi="Times New Roman" w:cs="Times New Roman"/>
        </w:rPr>
        <w:t>six months</w:t>
      </w:r>
      <w:r>
        <w:rPr>
          <w:rFonts w:ascii="Times New Roman" w:hAnsi="Times New Roman" w:cs="Times New Roman"/>
        </w:rPr>
        <w:t xml:space="preserve"> ended June 30, 2019, stock-based compensation represented approximately </w:t>
      </w:r>
      <w:r>
        <w:rPr>
          <w:rFonts w:ascii="Times New Roman" w:eastAsia="Times New Roman" w:hAnsi="Times New Roman" w:cs="Times New Roman"/>
          <w:lang w:val="en-GB"/>
        </w:rPr>
        <w:t>21.9%</w:t>
      </w:r>
      <w:r>
        <w:rPr>
          <w:rFonts w:ascii="Times New Roman" w:hAnsi="Times New Roman" w:cs="Times New Roman"/>
        </w:rPr>
        <w:t xml:space="preserve"> and </w:t>
      </w:r>
      <w:r>
        <w:rPr>
          <w:rFonts w:ascii="Times New Roman" w:eastAsia="Times New Roman" w:hAnsi="Times New Roman" w:cs="Times New Roman"/>
          <w:lang w:val="en-GB"/>
        </w:rPr>
        <w:t>22.</w:t>
      </w:r>
      <w:r w:rsidR="005222A1">
        <w:rPr>
          <w:rFonts w:ascii="Times New Roman" w:eastAsia="Times New Roman" w:hAnsi="Times New Roman" w:cs="Times New Roman"/>
          <w:lang w:val="en-GB"/>
        </w:rPr>
        <w:t>1</w:t>
      </w:r>
      <w:r>
        <w:rPr>
          <w:rFonts w:ascii="Times New Roman" w:hAnsi="Times New Roman" w:cs="Times New Roman"/>
        </w:rPr>
        <w:t>% of operating expenses, respectively, in each case excluding cost of sales. Puma’s management believes that these non-GAAP financial measures are useful to enhance understanding of Puma’s financial performance, and are more indicative of its operational performance and facilitate a better comparison among fiscal periods. These non-GAAP financial measures are not, and should not be viewed as, substitutes for GAAP reporting measures.</w:t>
      </w:r>
      <w:r>
        <w:rPr>
          <w:rFonts w:ascii="Times New Roman" w:eastAsia="Times New Roman" w:hAnsi="Times New Roman" w:cs="Times New Roman"/>
        </w:rPr>
        <w:t xml:space="preserve"> </w:t>
      </w:r>
    </w:p>
    <w:p w:rsidR="00BF20AF" w:rsidRDefault="00BF20AF" w:rsidP="000F3A35">
      <w:pPr>
        <w:widowControl/>
        <w:spacing w:after="0" w:line="240" w:lineRule="auto"/>
        <w:jc w:val="both"/>
        <w:rPr>
          <w:rFonts w:ascii="Times New Roman" w:eastAsia="Times New Roman" w:hAnsi="Times New Roman" w:cs="Times New Roman"/>
        </w:rPr>
      </w:pPr>
    </w:p>
    <w:p w:rsidR="008B2349" w:rsidRPr="000F3A35" w:rsidRDefault="008B2349" w:rsidP="000F3A35">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F3A35">
        <w:rPr>
          <w:noProof/>
        </w:rPr>
        <w:t xml:space="preserve"> </w:t>
      </w:r>
      <w:r w:rsidR="006E66B0" w:rsidRPr="006E66B0">
        <w:rPr>
          <w:noProof/>
        </w:rPr>
        <w:drawing>
          <wp:inline distT="0" distB="0" distL="0" distR="0" wp14:anchorId="414CDEA7" wp14:editId="3D068336">
            <wp:extent cx="5795725" cy="6424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3038" cy="6421675"/>
                    </a:xfrm>
                    <a:prstGeom prst="rect">
                      <a:avLst/>
                    </a:prstGeom>
                    <a:noFill/>
                    <a:ln>
                      <a:noFill/>
                    </a:ln>
                  </pic:spPr>
                </pic:pic>
              </a:graphicData>
            </a:graphic>
          </wp:inline>
        </w:drawing>
      </w:r>
    </w:p>
    <w:sectPr w:rsidR="008B2349" w:rsidRPr="000F3A35">
      <w:footerReference w:type="default" r:id="rId16"/>
      <w:pgSz w:w="12240" w:h="15840"/>
      <w:pgMar w:top="1152" w:right="1440" w:bottom="1008"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18F" w:rsidRDefault="0076118F">
      <w:pPr>
        <w:spacing w:after="0" w:line="240" w:lineRule="auto"/>
      </w:pPr>
      <w:r>
        <w:separator/>
      </w:r>
    </w:p>
  </w:endnote>
  <w:endnote w:type="continuationSeparator" w:id="0">
    <w:p w:rsidR="0076118F" w:rsidRDefault="0076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51" w:rsidRPr="00BB63A1" w:rsidRDefault="0076118F" w:rsidP="00BB63A1">
    <w:pPr>
      <w:pStyle w:val="Footer"/>
      <w:rPr>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18F" w:rsidRDefault="0076118F">
      <w:pPr>
        <w:spacing w:after="0" w:line="240" w:lineRule="auto"/>
      </w:pPr>
      <w:r>
        <w:separator/>
      </w:r>
    </w:p>
  </w:footnote>
  <w:footnote w:type="continuationSeparator" w:id="0">
    <w:p w:rsidR="0076118F" w:rsidRDefault="00761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F4F03"/>
    <w:multiLevelType w:val="hybridMultilevel"/>
    <w:tmpl w:val="70C6EC76"/>
    <w:lvl w:ilvl="0" w:tplc="876E307E">
      <w:start w:val="1"/>
      <w:numFmt w:val="bullet"/>
      <w:lvlText w:val=""/>
      <w:lvlJc w:val="left"/>
      <w:pPr>
        <w:ind w:left="720" w:hanging="360"/>
      </w:pPr>
      <w:rPr>
        <w:rFonts w:ascii="Symbol" w:hAnsi="Symbol" w:hint="default"/>
      </w:rPr>
    </w:lvl>
    <w:lvl w:ilvl="1" w:tplc="9E1C309C" w:tentative="1">
      <w:start w:val="1"/>
      <w:numFmt w:val="bullet"/>
      <w:lvlText w:val="o"/>
      <w:lvlJc w:val="left"/>
      <w:pPr>
        <w:ind w:left="1440" w:hanging="360"/>
      </w:pPr>
      <w:rPr>
        <w:rFonts w:ascii="Courier New" w:hAnsi="Courier New" w:cs="Courier New" w:hint="default"/>
      </w:rPr>
    </w:lvl>
    <w:lvl w:ilvl="2" w:tplc="34449678" w:tentative="1">
      <w:start w:val="1"/>
      <w:numFmt w:val="bullet"/>
      <w:lvlText w:val=""/>
      <w:lvlJc w:val="left"/>
      <w:pPr>
        <w:ind w:left="2160" w:hanging="360"/>
      </w:pPr>
      <w:rPr>
        <w:rFonts w:ascii="Wingdings" w:hAnsi="Wingdings" w:hint="default"/>
      </w:rPr>
    </w:lvl>
    <w:lvl w:ilvl="3" w:tplc="27C06BB4" w:tentative="1">
      <w:start w:val="1"/>
      <w:numFmt w:val="bullet"/>
      <w:lvlText w:val=""/>
      <w:lvlJc w:val="left"/>
      <w:pPr>
        <w:ind w:left="2880" w:hanging="360"/>
      </w:pPr>
      <w:rPr>
        <w:rFonts w:ascii="Symbol" w:hAnsi="Symbol" w:hint="default"/>
      </w:rPr>
    </w:lvl>
    <w:lvl w:ilvl="4" w:tplc="3A24CE7C" w:tentative="1">
      <w:start w:val="1"/>
      <w:numFmt w:val="bullet"/>
      <w:lvlText w:val="o"/>
      <w:lvlJc w:val="left"/>
      <w:pPr>
        <w:ind w:left="3600" w:hanging="360"/>
      </w:pPr>
      <w:rPr>
        <w:rFonts w:ascii="Courier New" w:hAnsi="Courier New" w:cs="Courier New" w:hint="default"/>
      </w:rPr>
    </w:lvl>
    <w:lvl w:ilvl="5" w:tplc="08EED102" w:tentative="1">
      <w:start w:val="1"/>
      <w:numFmt w:val="bullet"/>
      <w:lvlText w:val=""/>
      <w:lvlJc w:val="left"/>
      <w:pPr>
        <w:ind w:left="4320" w:hanging="360"/>
      </w:pPr>
      <w:rPr>
        <w:rFonts w:ascii="Wingdings" w:hAnsi="Wingdings" w:hint="default"/>
      </w:rPr>
    </w:lvl>
    <w:lvl w:ilvl="6" w:tplc="F0661C10" w:tentative="1">
      <w:start w:val="1"/>
      <w:numFmt w:val="bullet"/>
      <w:lvlText w:val=""/>
      <w:lvlJc w:val="left"/>
      <w:pPr>
        <w:ind w:left="5040" w:hanging="360"/>
      </w:pPr>
      <w:rPr>
        <w:rFonts w:ascii="Symbol" w:hAnsi="Symbol" w:hint="default"/>
      </w:rPr>
    </w:lvl>
    <w:lvl w:ilvl="7" w:tplc="F4A292AC" w:tentative="1">
      <w:start w:val="1"/>
      <w:numFmt w:val="bullet"/>
      <w:lvlText w:val="o"/>
      <w:lvlJc w:val="left"/>
      <w:pPr>
        <w:ind w:left="5760" w:hanging="360"/>
      </w:pPr>
      <w:rPr>
        <w:rFonts w:ascii="Courier New" w:hAnsi="Courier New" w:cs="Courier New" w:hint="default"/>
      </w:rPr>
    </w:lvl>
    <w:lvl w:ilvl="8" w:tplc="6336A9B2" w:tentative="1">
      <w:start w:val="1"/>
      <w:numFmt w:val="bullet"/>
      <w:lvlText w:val=""/>
      <w:lvlJc w:val="left"/>
      <w:pPr>
        <w:ind w:left="6480" w:hanging="360"/>
      </w:pPr>
      <w:rPr>
        <w:rFonts w:ascii="Wingdings" w:hAnsi="Wingdings" w:hint="default"/>
      </w:rPr>
    </w:lvl>
  </w:abstractNum>
  <w:abstractNum w:abstractNumId="2" w15:restartNumberingAfterBreak="0">
    <w:nsid w:val="1293533B"/>
    <w:multiLevelType w:val="hybridMultilevel"/>
    <w:tmpl w:val="75A8467E"/>
    <w:lvl w:ilvl="0" w:tplc="781A179A">
      <w:start w:val="1"/>
      <w:numFmt w:val="bullet"/>
      <w:lvlText w:val="•"/>
      <w:lvlJc w:val="left"/>
      <w:pPr>
        <w:tabs>
          <w:tab w:val="left" w:pos="720"/>
        </w:tabs>
        <w:ind w:left="720" w:hanging="360"/>
      </w:pPr>
      <w:rPr>
        <w:rFonts w:ascii="Arial" w:hAnsi="Arial"/>
        <w:strike w:val="0"/>
        <w:dstrike w:val="0"/>
      </w:rPr>
    </w:lvl>
    <w:lvl w:ilvl="1" w:tplc="B94C0ECA">
      <w:start w:val="1"/>
      <w:numFmt w:val="bullet"/>
      <w:lvlText w:val="•"/>
      <w:lvlJc w:val="left"/>
      <w:pPr>
        <w:tabs>
          <w:tab w:val="left" w:pos="1440"/>
        </w:tabs>
        <w:ind w:left="1440" w:hanging="360"/>
      </w:pPr>
      <w:rPr>
        <w:rFonts w:ascii="Arial" w:hAnsi="Arial"/>
        <w:strike w:val="0"/>
        <w:dstrike w:val="0"/>
      </w:rPr>
    </w:lvl>
    <w:lvl w:ilvl="2" w:tplc="B91AB8B8">
      <w:start w:val="1"/>
      <w:numFmt w:val="bullet"/>
      <w:lvlText w:val="•"/>
      <w:lvlJc w:val="left"/>
      <w:pPr>
        <w:tabs>
          <w:tab w:val="left" w:pos="2160"/>
        </w:tabs>
        <w:ind w:left="2160" w:hanging="360"/>
      </w:pPr>
      <w:rPr>
        <w:rFonts w:ascii="Arial" w:hAnsi="Arial"/>
        <w:strike w:val="0"/>
        <w:dstrike w:val="0"/>
      </w:rPr>
    </w:lvl>
    <w:lvl w:ilvl="3" w:tplc="1D64D97C">
      <w:start w:val="1"/>
      <w:numFmt w:val="bullet"/>
      <w:lvlText w:val="•"/>
      <w:lvlJc w:val="left"/>
      <w:pPr>
        <w:tabs>
          <w:tab w:val="left" w:pos="2880"/>
        </w:tabs>
        <w:ind w:left="2880" w:hanging="360"/>
      </w:pPr>
      <w:rPr>
        <w:rFonts w:ascii="Arial" w:hAnsi="Arial"/>
        <w:strike w:val="0"/>
        <w:dstrike w:val="0"/>
      </w:rPr>
    </w:lvl>
    <w:lvl w:ilvl="4" w:tplc="FAD8D364">
      <w:start w:val="1"/>
      <w:numFmt w:val="bullet"/>
      <w:lvlText w:val="•"/>
      <w:lvlJc w:val="left"/>
      <w:pPr>
        <w:tabs>
          <w:tab w:val="left" w:pos="3600"/>
        </w:tabs>
        <w:ind w:left="3600" w:hanging="360"/>
      </w:pPr>
      <w:rPr>
        <w:rFonts w:ascii="Arial" w:hAnsi="Arial"/>
        <w:strike w:val="0"/>
        <w:dstrike w:val="0"/>
      </w:rPr>
    </w:lvl>
    <w:lvl w:ilvl="5" w:tplc="49722CEC">
      <w:start w:val="1"/>
      <w:numFmt w:val="bullet"/>
      <w:lvlText w:val="•"/>
      <w:lvlJc w:val="left"/>
      <w:pPr>
        <w:tabs>
          <w:tab w:val="left" w:pos="4320"/>
        </w:tabs>
        <w:ind w:left="4320" w:hanging="360"/>
      </w:pPr>
      <w:rPr>
        <w:rFonts w:ascii="Arial" w:hAnsi="Arial"/>
        <w:strike w:val="0"/>
        <w:dstrike w:val="0"/>
      </w:rPr>
    </w:lvl>
    <w:lvl w:ilvl="6" w:tplc="A032116C">
      <w:start w:val="1"/>
      <w:numFmt w:val="bullet"/>
      <w:lvlText w:val="•"/>
      <w:lvlJc w:val="left"/>
      <w:pPr>
        <w:tabs>
          <w:tab w:val="left" w:pos="5040"/>
        </w:tabs>
        <w:ind w:left="5040" w:hanging="360"/>
      </w:pPr>
      <w:rPr>
        <w:rFonts w:ascii="Arial" w:hAnsi="Arial"/>
        <w:strike w:val="0"/>
        <w:dstrike w:val="0"/>
      </w:rPr>
    </w:lvl>
    <w:lvl w:ilvl="7" w:tplc="CC1618A2">
      <w:start w:val="1"/>
      <w:numFmt w:val="bullet"/>
      <w:lvlText w:val="•"/>
      <w:lvlJc w:val="left"/>
      <w:pPr>
        <w:tabs>
          <w:tab w:val="left" w:pos="5760"/>
        </w:tabs>
        <w:ind w:left="5760" w:hanging="360"/>
      </w:pPr>
      <w:rPr>
        <w:rFonts w:ascii="Arial" w:hAnsi="Arial"/>
        <w:strike w:val="0"/>
        <w:dstrike w:val="0"/>
      </w:rPr>
    </w:lvl>
    <w:lvl w:ilvl="8" w:tplc="723CF406">
      <w:start w:val="1"/>
      <w:numFmt w:val="bullet"/>
      <w:lvlText w:val="•"/>
      <w:lvlJc w:val="left"/>
      <w:pPr>
        <w:tabs>
          <w:tab w:val="left" w:pos="6480"/>
        </w:tabs>
        <w:ind w:left="6480" w:hanging="360"/>
      </w:pPr>
      <w:rPr>
        <w:rFonts w:ascii="Arial" w:hAnsi="Arial"/>
        <w:strike w:val="0"/>
        <w:dstrike w:val="0"/>
      </w:rPr>
    </w:lvl>
  </w:abstractNum>
  <w:abstractNum w:abstractNumId="3" w15:restartNumberingAfterBreak="0">
    <w:nsid w:val="36B463BD"/>
    <w:multiLevelType w:val="hybridMultilevel"/>
    <w:tmpl w:val="6F3269A2"/>
    <w:lvl w:ilvl="0" w:tplc="E69457D6">
      <w:start w:val="1"/>
      <w:numFmt w:val="bullet"/>
      <w:lvlText w:val=""/>
      <w:lvlJc w:val="left"/>
      <w:pPr>
        <w:ind w:left="720" w:hanging="360"/>
      </w:pPr>
      <w:rPr>
        <w:rFonts w:ascii="Symbol" w:hAnsi="Symbol" w:hint="default"/>
      </w:rPr>
    </w:lvl>
    <w:lvl w:ilvl="1" w:tplc="1512D99A" w:tentative="1">
      <w:start w:val="1"/>
      <w:numFmt w:val="lowerLetter"/>
      <w:lvlText w:val="%2."/>
      <w:lvlJc w:val="left"/>
      <w:pPr>
        <w:ind w:left="1440" w:hanging="360"/>
      </w:pPr>
    </w:lvl>
    <w:lvl w:ilvl="2" w:tplc="7682FF32" w:tentative="1">
      <w:start w:val="1"/>
      <w:numFmt w:val="lowerRoman"/>
      <w:lvlText w:val="%3."/>
      <w:lvlJc w:val="right"/>
      <w:pPr>
        <w:ind w:left="2160" w:hanging="180"/>
      </w:pPr>
    </w:lvl>
    <w:lvl w:ilvl="3" w:tplc="AA0AD59E" w:tentative="1">
      <w:start w:val="1"/>
      <w:numFmt w:val="decimal"/>
      <w:lvlText w:val="%4."/>
      <w:lvlJc w:val="left"/>
      <w:pPr>
        <w:ind w:left="2880" w:hanging="360"/>
      </w:pPr>
    </w:lvl>
    <w:lvl w:ilvl="4" w:tplc="A0FA1964" w:tentative="1">
      <w:start w:val="1"/>
      <w:numFmt w:val="lowerLetter"/>
      <w:lvlText w:val="%5."/>
      <w:lvlJc w:val="left"/>
      <w:pPr>
        <w:ind w:left="3600" w:hanging="360"/>
      </w:pPr>
    </w:lvl>
    <w:lvl w:ilvl="5" w:tplc="7A243484" w:tentative="1">
      <w:start w:val="1"/>
      <w:numFmt w:val="lowerRoman"/>
      <w:lvlText w:val="%6."/>
      <w:lvlJc w:val="right"/>
      <w:pPr>
        <w:ind w:left="4320" w:hanging="180"/>
      </w:pPr>
    </w:lvl>
    <w:lvl w:ilvl="6" w:tplc="17905320" w:tentative="1">
      <w:start w:val="1"/>
      <w:numFmt w:val="decimal"/>
      <w:lvlText w:val="%7."/>
      <w:lvlJc w:val="left"/>
      <w:pPr>
        <w:ind w:left="5040" w:hanging="360"/>
      </w:pPr>
    </w:lvl>
    <w:lvl w:ilvl="7" w:tplc="7E76EEE6" w:tentative="1">
      <w:start w:val="1"/>
      <w:numFmt w:val="lowerLetter"/>
      <w:lvlText w:val="%8."/>
      <w:lvlJc w:val="left"/>
      <w:pPr>
        <w:ind w:left="5760" w:hanging="360"/>
      </w:pPr>
    </w:lvl>
    <w:lvl w:ilvl="8" w:tplc="A13E4AFC" w:tentative="1">
      <w:start w:val="1"/>
      <w:numFmt w:val="lowerRoman"/>
      <w:lvlText w:val="%9."/>
      <w:lvlJc w:val="right"/>
      <w:pPr>
        <w:ind w:left="6480" w:hanging="180"/>
      </w:pPr>
    </w:lvl>
  </w:abstractNum>
  <w:abstractNum w:abstractNumId="4" w15:restartNumberingAfterBreak="0">
    <w:nsid w:val="418670C9"/>
    <w:multiLevelType w:val="hybridMultilevel"/>
    <w:tmpl w:val="E4A66DF0"/>
    <w:lvl w:ilvl="0" w:tplc="20EC40CA">
      <w:start w:val="1"/>
      <w:numFmt w:val="bullet"/>
      <w:lvlText w:val=""/>
      <w:lvlJc w:val="left"/>
      <w:pPr>
        <w:ind w:left="720" w:hanging="360"/>
      </w:pPr>
      <w:rPr>
        <w:rFonts w:ascii="Symbol" w:hAnsi="Symbol" w:hint="default"/>
      </w:rPr>
    </w:lvl>
    <w:lvl w:ilvl="1" w:tplc="0B3C3BFE">
      <w:start w:val="1"/>
      <w:numFmt w:val="bullet"/>
      <w:lvlText w:val="o"/>
      <w:lvlJc w:val="left"/>
      <w:pPr>
        <w:ind w:left="1440" w:hanging="360"/>
      </w:pPr>
      <w:rPr>
        <w:rFonts w:ascii="Courier New" w:hAnsi="Courier New" w:cs="Courier New" w:hint="default"/>
      </w:rPr>
    </w:lvl>
    <w:lvl w:ilvl="2" w:tplc="07B29078">
      <w:start w:val="1"/>
      <w:numFmt w:val="bullet"/>
      <w:lvlText w:val=""/>
      <w:lvlJc w:val="left"/>
      <w:pPr>
        <w:ind w:left="2160" w:hanging="360"/>
      </w:pPr>
      <w:rPr>
        <w:rFonts w:ascii="Wingdings" w:hAnsi="Wingdings" w:hint="default"/>
      </w:rPr>
    </w:lvl>
    <w:lvl w:ilvl="3" w:tplc="ECAAF8A6">
      <w:start w:val="1"/>
      <w:numFmt w:val="bullet"/>
      <w:lvlText w:val=""/>
      <w:lvlJc w:val="left"/>
      <w:pPr>
        <w:ind w:left="2880" w:hanging="360"/>
      </w:pPr>
      <w:rPr>
        <w:rFonts w:ascii="Symbol" w:hAnsi="Symbol" w:hint="default"/>
      </w:rPr>
    </w:lvl>
    <w:lvl w:ilvl="4" w:tplc="8DC05F8E">
      <w:start w:val="1"/>
      <w:numFmt w:val="bullet"/>
      <w:lvlText w:val="o"/>
      <w:lvlJc w:val="left"/>
      <w:pPr>
        <w:ind w:left="3600" w:hanging="360"/>
      </w:pPr>
      <w:rPr>
        <w:rFonts w:ascii="Courier New" w:hAnsi="Courier New" w:cs="Courier New" w:hint="default"/>
      </w:rPr>
    </w:lvl>
    <w:lvl w:ilvl="5" w:tplc="68AE6FE8">
      <w:start w:val="1"/>
      <w:numFmt w:val="bullet"/>
      <w:lvlText w:val=""/>
      <w:lvlJc w:val="left"/>
      <w:pPr>
        <w:ind w:left="4320" w:hanging="360"/>
      </w:pPr>
      <w:rPr>
        <w:rFonts w:ascii="Wingdings" w:hAnsi="Wingdings" w:hint="default"/>
      </w:rPr>
    </w:lvl>
    <w:lvl w:ilvl="6" w:tplc="7E3086CE">
      <w:start w:val="1"/>
      <w:numFmt w:val="bullet"/>
      <w:lvlText w:val=""/>
      <w:lvlJc w:val="left"/>
      <w:pPr>
        <w:ind w:left="5040" w:hanging="360"/>
      </w:pPr>
      <w:rPr>
        <w:rFonts w:ascii="Symbol" w:hAnsi="Symbol" w:hint="default"/>
      </w:rPr>
    </w:lvl>
    <w:lvl w:ilvl="7" w:tplc="0AD27888">
      <w:start w:val="1"/>
      <w:numFmt w:val="bullet"/>
      <w:lvlText w:val="o"/>
      <w:lvlJc w:val="left"/>
      <w:pPr>
        <w:ind w:left="5760" w:hanging="360"/>
      </w:pPr>
      <w:rPr>
        <w:rFonts w:ascii="Courier New" w:hAnsi="Courier New" w:cs="Courier New" w:hint="default"/>
      </w:rPr>
    </w:lvl>
    <w:lvl w:ilvl="8" w:tplc="8BB63E52">
      <w:start w:val="1"/>
      <w:numFmt w:val="bullet"/>
      <w:lvlText w:val=""/>
      <w:lvlJc w:val="left"/>
      <w:pPr>
        <w:ind w:left="6480" w:hanging="360"/>
      </w:pPr>
      <w:rPr>
        <w:rFonts w:ascii="Wingdings" w:hAnsi="Wingdings" w:hint="default"/>
      </w:rPr>
    </w:lvl>
  </w:abstractNum>
  <w:abstractNum w:abstractNumId="5" w15:restartNumberingAfterBreak="0">
    <w:nsid w:val="5F586C63"/>
    <w:multiLevelType w:val="hybridMultilevel"/>
    <w:tmpl w:val="D6F63E02"/>
    <w:lvl w:ilvl="0" w:tplc="D800FF8E">
      <w:start w:val="1"/>
      <w:numFmt w:val="bullet"/>
      <w:lvlText w:val=""/>
      <w:lvlJc w:val="left"/>
      <w:pPr>
        <w:ind w:left="720" w:hanging="360"/>
      </w:pPr>
      <w:rPr>
        <w:rFonts w:ascii="Symbol" w:hAnsi="Symbol" w:hint="default"/>
      </w:rPr>
    </w:lvl>
    <w:lvl w:ilvl="1" w:tplc="804A1894">
      <w:start w:val="1"/>
      <w:numFmt w:val="bullet"/>
      <w:lvlText w:val="o"/>
      <w:lvlJc w:val="left"/>
      <w:pPr>
        <w:ind w:left="1440" w:hanging="360"/>
      </w:pPr>
      <w:rPr>
        <w:rFonts w:ascii="Courier New" w:hAnsi="Courier New" w:cs="Courier New" w:hint="default"/>
      </w:rPr>
    </w:lvl>
    <w:lvl w:ilvl="2" w:tplc="27FC403C">
      <w:start w:val="1"/>
      <w:numFmt w:val="bullet"/>
      <w:lvlText w:val=""/>
      <w:lvlJc w:val="left"/>
      <w:pPr>
        <w:ind w:left="2160" w:hanging="360"/>
      </w:pPr>
      <w:rPr>
        <w:rFonts w:ascii="Wingdings" w:hAnsi="Wingdings" w:hint="default"/>
      </w:rPr>
    </w:lvl>
    <w:lvl w:ilvl="3" w:tplc="8EA2615A">
      <w:start w:val="1"/>
      <w:numFmt w:val="bullet"/>
      <w:lvlText w:val=""/>
      <w:lvlJc w:val="left"/>
      <w:pPr>
        <w:ind w:left="2880" w:hanging="360"/>
      </w:pPr>
      <w:rPr>
        <w:rFonts w:ascii="Symbol" w:hAnsi="Symbol" w:hint="default"/>
      </w:rPr>
    </w:lvl>
    <w:lvl w:ilvl="4" w:tplc="1F3A4B60">
      <w:start w:val="1"/>
      <w:numFmt w:val="bullet"/>
      <w:lvlText w:val="o"/>
      <w:lvlJc w:val="left"/>
      <w:pPr>
        <w:ind w:left="3600" w:hanging="360"/>
      </w:pPr>
      <w:rPr>
        <w:rFonts w:ascii="Courier New" w:hAnsi="Courier New" w:cs="Courier New" w:hint="default"/>
      </w:rPr>
    </w:lvl>
    <w:lvl w:ilvl="5" w:tplc="35D23DC4">
      <w:start w:val="1"/>
      <w:numFmt w:val="bullet"/>
      <w:lvlText w:val=""/>
      <w:lvlJc w:val="left"/>
      <w:pPr>
        <w:ind w:left="4320" w:hanging="360"/>
      </w:pPr>
      <w:rPr>
        <w:rFonts w:ascii="Wingdings" w:hAnsi="Wingdings" w:hint="default"/>
      </w:rPr>
    </w:lvl>
    <w:lvl w:ilvl="6" w:tplc="FD207218">
      <w:start w:val="1"/>
      <w:numFmt w:val="bullet"/>
      <w:lvlText w:val=""/>
      <w:lvlJc w:val="left"/>
      <w:pPr>
        <w:ind w:left="5040" w:hanging="360"/>
      </w:pPr>
      <w:rPr>
        <w:rFonts w:ascii="Symbol" w:hAnsi="Symbol" w:hint="default"/>
      </w:rPr>
    </w:lvl>
    <w:lvl w:ilvl="7" w:tplc="95FA035E">
      <w:start w:val="1"/>
      <w:numFmt w:val="bullet"/>
      <w:lvlText w:val="o"/>
      <w:lvlJc w:val="left"/>
      <w:pPr>
        <w:ind w:left="5760" w:hanging="360"/>
      </w:pPr>
      <w:rPr>
        <w:rFonts w:ascii="Courier New" w:hAnsi="Courier New" w:cs="Courier New" w:hint="default"/>
      </w:rPr>
    </w:lvl>
    <w:lvl w:ilvl="8" w:tplc="9488892C">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embedSystemFonts/>
  <w:hideSpellingErrors/>
  <w:hideGrammaticalErrors/>
  <w:proofState w:spelling="clean" w:grammar="clean"/>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rlrDateFlag" w:val="0"/>
    <w:docVar w:name="TrlrDocTitleFlag" w:val="0"/>
    <w:docVar w:name="TrlrDOSFlag" w:val="0"/>
    <w:docVar w:name="TrlrDOSPathFlag" w:val="0"/>
    <w:docVar w:name="TrlrDraftFlag" w:val="0"/>
    <w:docVar w:name="TrlrFirstPageFlag" w:val="0"/>
    <w:docVar w:name="TrlrMatter" w:val="048623-2017"/>
    <w:docVar w:name="TrlrMatterFlag" w:val="0"/>
    <w:docVar w:name="TrlrRedlineFlag" w:val="0"/>
    <w:docVar w:name="TrlrTimeFlag" w:val="0"/>
    <w:docVar w:name="TrlrTypeFlag" w:val="1"/>
  </w:docVars>
  <w:rsids>
    <w:rsidRoot w:val="00AB2179"/>
    <w:rsid w:val="000C0FFB"/>
    <w:rsid w:val="000F3A35"/>
    <w:rsid w:val="00175815"/>
    <w:rsid w:val="001B2646"/>
    <w:rsid w:val="001E175A"/>
    <w:rsid w:val="00201491"/>
    <w:rsid w:val="0020708D"/>
    <w:rsid w:val="003A6619"/>
    <w:rsid w:val="00453CDC"/>
    <w:rsid w:val="005222A1"/>
    <w:rsid w:val="005D1BF2"/>
    <w:rsid w:val="005E1495"/>
    <w:rsid w:val="005F6FD9"/>
    <w:rsid w:val="006E66B0"/>
    <w:rsid w:val="0076118F"/>
    <w:rsid w:val="00776A56"/>
    <w:rsid w:val="007F18A7"/>
    <w:rsid w:val="00893C6E"/>
    <w:rsid w:val="008B2349"/>
    <w:rsid w:val="00991E94"/>
    <w:rsid w:val="009B1652"/>
    <w:rsid w:val="00A50666"/>
    <w:rsid w:val="00AB2179"/>
    <w:rsid w:val="00B12FB2"/>
    <w:rsid w:val="00BF20AF"/>
    <w:rsid w:val="00D37D7F"/>
    <w:rsid w:val="00DF6431"/>
    <w:rsid w:val="00F556B0"/>
    <w:rsid w:val="00FC1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sid w:val="007D5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4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biotechnology.com/" TargetMode="External"/><Relationship Id="rId13" Type="http://schemas.openxmlformats.org/officeDocument/2006/relationships/hyperlink" Target="mailto:david.schull@russopartnersll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r@pumabiotechnolog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umabiotechnology.com"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s://nerlynx.com/pdf/full-prescribing-information.pdf" TargetMode="External"/><Relationship Id="rId4" Type="http://schemas.openxmlformats.org/officeDocument/2006/relationships/webSettings" Target="webSettings.xml"/><Relationship Id="rId9" Type="http://schemas.openxmlformats.org/officeDocument/2006/relationships/hyperlink" Target="http://www.pumabiotechnology.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2019-08-08T04:52:00Z</dcterms:created>
  <dcterms:modified xsi:type="dcterms:W3CDTF">2019-08-08T20:02:00Z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{REF:0486232017}</vt:lpwstr>
  </property>
</Properties>
</file>