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Pr="00E20E4E" w:rsidRDefault="00C402D0">
      <w:pPr>
        <w:autoSpaceDE/>
        <w:autoSpaceDN/>
        <w:adjustRightInd/>
        <w:spacing w:before="99"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4C7D80">
      <w:pPr>
        <w:autoSpaceDE/>
        <w:autoSpaceDN/>
        <w:adjustRightInd/>
        <w:spacing w:before="4" w:after="0" w:line="170" w:lineRule="exact"/>
        <w:rPr>
          <w:rFonts w:eastAsia="Times New Roman" w:cs="Times New Roman"/>
          <w:sz w:val="17"/>
          <w:szCs w:val="24"/>
        </w:rPr>
      </w:pPr>
    </w:p>
    <w:p w:rsidR="00B2198E" w:rsidRPr="00714C36" w:rsidRDefault="00C402D0"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4C7D80">
      <w:pPr>
        <w:autoSpaceDE/>
        <w:autoSpaceDN/>
        <w:adjustRightInd/>
        <w:spacing w:after="0" w:line="140" w:lineRule="exact"/>
        <w:rPr>
          <w:rFonts w:eastAsia="Times New Roman" w:cs="Times New Roman"/>
          <w:sz w:val="14"/>
          <w:szCs w:val="24"/>
        </w:rPr>
      </w:pPr>
    </w:p>
    <w:p w:rsidR="00B2198E" w:rsidRDefault="004C7D80">
      <w:pPr>
        <w:autoSpaceDE/>
        <w:autoSpaceDN/>
        <w:adjustRightInd/>
        <w:spacing w:after="0" w:line="200" w:lineRule="exact"/>
        <w:rPr>
          <w:rFonts w:eastAsia="Times New Roman" w:cs="Times New Roman"/>
          <w:sz w:val="28"/>
          <w:szCs w:val="24"/>
        </w:rPr>
      </w:pPr>
    </w:p>
    <w:p w:rsidR="00B2198E" w:rsidRDefault="00C402D0">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Third Quarter 2015 Financial Results </w:t>
      </w:r>
    </w:p>
    <w:p w:rsidR="00B2198E" w:rsidRDefault="004C7D80">
      <w:pPr>
        <w:autoSpaceDE/>
        <w:autoSpaceDN/>
        <w:adjustRightInd/>
        <w:spacing w:before="120" w:after="0" w:line="200" w:lineRule="exact"/>
        <w:jc w:val="center"/>
        <w:rPr>
          <w:rFonts w:ascii="Times New Roman" w:eastAsia="Times New Roman" w:hAnsi="Times New Roman" w:cs="Times New Roman"/>
          <w:b/>
          <w:sz w:val="28"/>
          <w:szCs w:val="24"/>
        </w:rPr>
      </w:pPr>
    </w:p>
    <w:p w:rsidR="00B2198E" w:rsidRPr="00990356" w:rsidRDefault="00C402D0" w:rsidP="00B2198E">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0C41AB">
        <w:rPr>
          <w:rFonts w:ascii="Times New Roman" w:eastAsia="Times New Roman" w:hAnsi="Times New Roman" w:cs="Times New Roman"/>
          <w:b/>
        </w:rPr>
        <w:t>.,</w:t>
      </w:r>
      <w:r w:rsidRPr="000C41AB">
        <w:rPr>
          <w:rFonts w:ascii="Times New Roman" w:eastAsia="Times New Roman" w:hAnsi="Times New Roman" w:cs="Times New Roman"/>
          <w:b/>
          <w:spacing w:val="1"/>
        </w:rPr>
        <w:t xml:space="preserve"> </w:t>
      </w:r>
      <w:r w:rsidRPr="000C41AB">
        <w:rPr>
          <w:rFonts w:ascii="Times New Roman" w:eastAsia="Times New Roman" w:hAnsi="Times New Roman" w:cs="Times New Roman"/>
          <w:b/>
        </w:rPr>
        <w:t>Nov. 9, 2015</w:t>
      </w:r>
      <w:r w:rsidRPr="000C41AB">
        <w:rPr>
          <w:rFonts w:ascii="Times New Roman" w:eastAsia="Times New Roman" w:hAnsi="Times New Roman" w:cs="Times New Roman"/>
          <w:b/>
          <w:spacing w:val="1"/>
        </w:rPr>
        <w:t xml:space="preserve"> </w:t>
      </w:r>
      <w:r w:rsidRPr="000C41AB">
        <w:rPr>
          <w:rFonts w:ascii="Symbol" w:eastAsia="Symbol" w:hAnsi="Symbol" w:cs="Symbol"/>
          <w:sz w:val="24"/>
          <w:szCs w:val="24"/>
        </w:rPr>
        <w:sym w:font="Symbol" w:char="F02D"/>
      </w:r>
      <w:r w:rsidRPr="000C41AB">
        <w:rPr>
          <w:rFonts w:ascii="Times New Roman" w:eastAsia="Times New Roman" w:hAnsi="Times New Roman" w:cs="Times New Roman"/>
        </w:rPr>
        <w:t xml:space="preserve"> Pu</w:t>
      </w:r>
      <w:r w:rsidRPr="000C41AB">
        <w:rPr>
          <w:rFonts w:ascii="Times New Roman" w:eastAsia="Times New Roman" w:hAnsi="Times New Roman" w:cs="Times New Roman"/>
          <w:spacing w:val="-2"/>
        </w:rPr>
        <w:t>m</w:t>
      </w:r>
      <w:r w:rsidRPr="000C41AB">
        <w:rPr>
          <w:rFonts w:ascii="Times New Roman" w:eastAsia="Times New Roman" w:hAnsi="Times New Roman" w:cs="Times New Roman"/>
        </w:rPr>
        <w:t>a</w:t>
      </w:r>
      <w:r w:rsidRPr="000C41AB">
        <w:rPr>
          <w:rFonts w:ascii="Times New Roman" w:eastAsia="Times New Roman" w:hAnsi="Times New Roman" w:cs="Times New Roman"/>
          <w:spacing w:val="1"/>
        </w:rPr>
        <w:t xml:space="preserve"> </w:t>
      </w:r>
      <w:r w:rsidRPr="000C41AB">
        <w:rPr>
          <w:rFonts w:ascii="Times New Roman" w:eastAsia="Times New Roman" w:hAnsi="Times New Roman" w:cs="Times New Roman"/>
        </w:rPr>
        <w:t>Bi</w:t>
      </w:r>
      <w:r w:rsidRPr="00A83034">
        <w:rPr>
          <w:rFonts w:ascii="Times New Roman" w:eastAsia="Times New Roman" w:hAnsi="Times New Roman" w:cs="Times New Roman"/>
        </w:rPr>
        <w:t>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third quarter ended September 30, 2015</w:t>
      </w:r>
      <w:r w:rsidRPr="00990356">
        <w:rPr>
          <w:rFonts w:ascii="Times New Roman" w:eastAsia="Times New Roman" w:hAnsi="Times New Roman" w:cs="Times New Roman"/>
          <w:lang w:val="en-GB"/>
        </w:rPr>
        <w:t>.</w:t>
      </w:r>
    </w:p>
    <w:p w:rsidR="00B2198E" w:rsidRDefault="004C7D80" w:rsidP="00B2198E">
      <w:pPr>
        <w:autoSpaceDE/>
        <w:autoSpaceDN/>
        <w:adjustRightInd/>
        <w:spacing w:after="0" w:line="230" w:lineRule="auto"/>
        <w:ind w:right="53"/>
        <w:jc w:val="both"/>
        <w:rPr>
          <w:rFonts w:ascii="Times New Roman" w:eastAsia="Times New Roman" w:hAnsi="Times New Roman" w:cs="Times New Roman"/>
        </w:rPr>
      </w:pPr>
    </w:p>
    <w:p w:rsidR="00B2198E" w:rsidRDefault="00C402D0" w:rsidP="00B2198E">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third </w:t>
      </w:r>
      <w:r w:rsidRPr="000D108B">
        <w:rPr>
          <w:rFonts w:ascii="Times New Roman" w:eastAsia="Times New Roman" w:hAnsi="Times New Roman" w:cs="Times New Roman"/>
        </w:rPr>
        <w:t xml:space="preserve">quarter </w:t>
      </w:r>
      <w:r>
        <w:rPr>
          <w:rFonts w:ascii="Times New Roman" w:eastAsia="Times New Roman" w:hAnsi="Times New Roman" w:cs="Times New Roman"/>
        </w:rPr>
        <w:t xml:space="preserve">and nine months </w:t>
      </w:r>
      <w:r>
        <w:rPr>
          <w:rFonts w:ascii="Times New Roman" w:eastAsia="Times New Roman" w:hAnsi="Times New Roman" w:cs="Times New Roman"/>
          <w:lang w:val="en-GB"/>
        </w:rPr>
        <w:t>ended September 30, 2015</w:t>
      </w:r>
      <w:r w:rsidR="00E30E73">
        <w:rPr>
          <w:rFonts w:ascii="Times New Roman" w:eastAsia="Times New Roman" w:hAnsi="Times New Roman" w:cs="Times New Roman"/>
          <w:lang w:val="en-GB"/>
        </w:rPr>
        <w:t>,</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third</w:t>
      </w:r>
      <w:r w:rsidRPr="000D108B">
        <w:rPr>
          <w:rFonts w:ascii="Times New Roman" w:eastAsia="Times New Roman" w:hAnsi="Times New Roman" w:cs="Times New Roman"/>
        </w:rPr>
        <w:t xml:space="preserve"> quarter </w:t>
      </w:r>
      <w:r>
        <w:rPr>
          <w:rFonts w:ascii="Times New Roman" w:eastAsia="Times New Roman" w:hAnsi="Times New Roman" w:cs="Times New Roman"/>
        </w:rPr>
        <w:t xml:space="preserve">and nine months </w:t>
      </w:r>
      <w:r>
        <w:rPr>
          <w:rFonts w:ascii="Times New Roman" w:eastAsia="Times New Roman" w:hAnsi="Times New Roman" w:cs="Times New Roman"/>
          <w:lang w:val="en-GB"/>
        </w:rPr>
        <w:t>ended September 30, 2014</w:t>
      </w:r>
      <w:r w:rsidRPr="000D108B">
        <w:rPr>
          <w:rFonts w:ascii="Times New Roman" w:eastAsia="Times New Roman" w:hAnsi="Times New Roman" w:cs="Times New Roman"/>
        </w:rPr>
        <w:t>.</w:t>
      </w:r>
    </w:p>
    <w:p w:rsidR="00B2198E" w:rsidRPr="000D108B" w:rsidRDefault="004C7D80" w:rsidP="00B2198E">
      <w:pPr>
        <w:autoSpaceDE/>
        <w:autoSpaceDN/>
        <w:adjustRightInd/>
        <w:spacing w:after="0" w:line="230" w:lineRule="auto"/>
        <w:ind w:right="53"/>
        <w:jc w:val="both"/>
        <w:rPr>
          <w:rFonts w:ascii="Times New Roman" w:eastAsia="Times New Roman" w:hAnsi="Times New Roman" w:cs="Times New Roman"/>
        </w:rPr>
      </w:pPr>
    </w:p>
    <w:p w:rsidR="00B2198E" w:rsidRDefault="00C402D0"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of $60.4 million, or $1.87 per share, for the third quarter of 2015, compared to a net loss of $35.9 million, or $1.19 per share, for the third quarter of 2014.  Net loss for the nine months ended September 30, 2015 was $177.6 million, or $5.55 per share, compared to $94.5</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$3.16</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per share, for the nine months ended September 30, 2014.  </w:t>
      </w:r>
    </w:p>
    <w:p w:rsidR="00B2198E" w:rsidRDefault="004C7D80"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7506F3" w:rsidRDefault="00C402D0"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Non-GAAP adjusted net loss was $35.5 million, or $1.10 per share, for the third quarter of 2015, compared to $25.4</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$0.84 per share, for the third quarter of 2014.  Non-GAAP adjusted n</w:t>
      </w:r>
      <w:r w:rsidRPr="007506F3">
        <w:rPr>
          <w:rFonts w:ascii="Times New Roman" w:eastAsia="Times New Roman" w:hAnsi="Times New Roman" w:cs="Times New Roman"/>
          <w:lang w:val="en-GB"/>
        </w:rPr>
        <w:t xml:space="preserve">et loss for the </w:t>
      </w:r>
      <w:r>
        <w:rPr>
          <w:rFonts w:ascii="Times New Roman" w:eastAsia="Times New Roman" w:hAnsi="Times New Roman" w:cs="Times New Roman"/>
          <w:lang w:val="en-GB"/>
        </w:rPr>
        <w:t>nine months ended September 30, 2015</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$104.3 million, or $3.26</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$71.7</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$2.40 per share, for the nine months ended September 30, 2014.  Non-GAAP 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excludes stock-based compensation expense, which represents a significant portion of overall expense and has no impact on the cash position of the Company.  For a reconciliation of </w:t>
      </w:r>
      <w:r>
        <w:rPr>
          <w:rFonts w:ascii="Times New Roman" w:eastAsia="Times New Roman" w:hAnsi="Times New Roman" w:cs="Times New Roman"/>
        </w:rPr>
        <w:t xml:space="preserve">GAAP net loss to non-GAAP </w:t>
      </w:r>
      <w:r w:rsidRPr="00445E9B">
        <w:rPr>
          <w:rFonts w:ascii="Times New Roman" w:eastAsia="Times New Roman" w:hAnsi="Times New Roman" w:cs="Times New Roman"/>
        </w:rPr>
        <w:t xml:space="preserve">adjusted net loss </w:t>
      </w:r>
      <w:r>
        <w:rPr>
          <w:rFonts w:ascii="Times New Roman" w:eastAsia="Times New Roman" w:hAnsi="Times New Roman" w:cs="Times New Roman"/>
        </w:rPr>
        <w:t>and GAAP net loss per share to non-GAAP adjusted net loss per share</w:t>
      </w:r>
      <w:r w:rsidRPr="00445E9B">
        <w:rPr>
          <w:rFonts w:ascii="Times New Roman" w:eastAsia="Times New Roman" w:hAnsi="Times New Roman" w:cs="Times New Roman"/>
        </w:rPr>
        <w:t>, please see the financial tables at the end of this news release.</w:t>
      </w:r>
      <w:r>
        <w:rPr>
          <w:rFonts w:ascii="Times New Roman" w:eastAsia="Times New Roman" w:hAnsi="Times New Roman" w:cs="Times New Roman"/>
        </w:rPr>
        <w:t xml:space="preserve">  </w:t>
      </w:r>
    </w:p>
    <w:p w:rsidR="00B2198E" w:rsidRDefault="004C7D80"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DC6CE2" w:rsidRDefault="00C402D0" w:rsidP="00B2198E">
      <w:pPr>
        <w:autoSpaceDE/>
        <w:autoSpaceDN/>
        <w:adjustRightInd/>
        <w:spacing w:after="0" w:line="230" w:lineRule="auto"/>
        <w:ind w:right="53"/>
        <w:jc w:val="both"/>
        <w:rPr>
          <w:rFonts w:ascii="Times New Roman" w:eastAsia="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third quarter of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36.8</w:t>
      </w:r>
      <w:r w:rsidRPr="00632DA7">
        <w:rPr>
          <w:rFonts w:ascii="Times New Roman" w:eastAsia="Times New Roman" w:hAnsi="Times New Roman" w:cs="Times New Roman"/>
          <w:lang w:val="en-GB"/>
        </w:rPr>
        <w:t xml:space="preserve"> million. Net cash used in operating activities for the </w:t>
      </w:r>
      <w:r>
        <w:rPr>
          <w:rFonts w:ascii="Times New Roman" w:eastAsia="Times New Roman" w:hAnsi="Times New Roman" w:cs="Times New Roman"/>
          <w:lang w:val="en-GB"/>
        </w:rPr>
        <w:t>nine months ended September 30,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121.4 million.  At September 30, 2015</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$23.6</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$224.2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38.5 million and marketable securities of $102.8 million at December 31, 2014</w:t>
      </w:r>
      <w:r w:rsidRPr="00A2029B">
        <w:rPr>
          <w:rFonts w:ascii="Times New Roman" w:eastAsia="Times New Roman" w:hAnsi="Times New Roman" w:cs="Times New Roman"/>
          <w:lang w:val="en-GB"/>
        </w:rPr>
        <w:t xml:space="preserve">. </w:t>
      </w:r>
      <w:r w:rsidRPr="00A2029B">
        <w:rPr>
          <w:rFonts w:ascii="Times New Roman" w:hAnsi="Times New Roman" w:cs="Times New Roman"/>
        </w:rPr>
        <w:t>Puma's current level of cash and cash equivalents</w:t>
      </w:r>
      <w:r>
        <w:rPr>
          <w:rFonts w:ascii="Times New Roman" w:hAnsi="Times New Roman" w:cs="Times New Roman"/>
        </w:rPr>
        <w:t xml:space="preserve"> and marketable securities</w:t>
      </w:r>
      <w:r w:rsidRPr="00A2029B">
        <w:rPr>
          <w:rFonts w:ascii="Times New Roman" w:hAnsi="Times New Roman" w:cs="Times New Roman"/>
        </w:rPr>
        <w:t xml:space="preserve"> includes net proceeds of approximately $</w:t>
      </w:r>
      <w:r>
        <w:rPr>
          <w:rFonts w:ascii="Times New Roman" w:hAnsi="Times New Roman" w:cs="Times New Roman"/>
        </w:rPr>
        <w:t xml:space="preserve">205.1 </w:t>
      </w:r>
      <w:r w:rsidRPr="00A2029B">
        <w:rPr>
          <w:rFonts w:ascii="Times New Roman" w:hAnsi="Times New Roman" w:cs="Times New Roman"/>
        </w:rPr>
        <w:t xml:space="preserve">million from a public offering of the Company's common stock, which was completed in </w:t>
      </w:r>
      <w:r>
        <w:rPr>
          <w:rFonts w:ascii="Times New Roman" w:hAnsi="Times New Roman" w:cs="Times New Roman"/>
        </w:rPr>
        <w:t>January</w:t>
      </w:r>
      <w:r w:rsidRPr="00A2029B">
        <w:rPr>
          <w:rFonts w:ascii="Times New Roman" w:hAnsi="Times New Roman" w:cs="Times New Roman"/>
        </w:rPr>
        <w:t xml:space="preserve"> 201</w:t>
      </w:r>
      <w:r>
        <w:rPr>
          <w:rFonts w:ascii="Times New Roman" w:hAnsi="Times New Roman" w:cs="Times New Roman"/>
        </w:rPr>
        <w:t>5</w:t>
      </w:r>
      <w:r w:rsidRPr="00A2029B">
        <w:rPr>
          <w:rFonts w:ascii="Times New Roman" w:hAnsi="Times New Roman" w:cs="Times New Roman"/>
        </w:rPr>
        <w:t xml:space="preserve">. </w:t>
      </w:r>
    </w:p>
    <w:p w:rsidR="0072191F" w:rsidRDefault="004C7D80" w:rsidP="00B2198E">
      <w:pPr>
        <w:autoSpaceDE/>
        <w:autoSpaceDN/>
        <w:adjustRightInd/>
        <w:spacing w:after="0" w:line="230" w:lineRule="auto"/>
        <w:ind w:right="53"/>
        <w:jc w:val="both"/>
        <w:rPr>
          <w:rFonts w:ascii="Times New Roman" w:eastAsia="Times New Roman" w:hAnsi="Times New Roman" w:cs="Times New Roman"/>
          <w:lang w:val="en-GB"/>
        </w:rPr>
      </w:pPr>
    </w:p>
    <w:p w:rsidR="00C776B6" w:rsidRPr="00C776B6" w:rsidRDefault="00C402D0" w:rsidP="00C776B6">
      <w:pPr>
        <w:autoSpaceDE/>
        <w:autoSpaceDN/>
        <w:adjustRightInd/>
        <w:spacing w:after="0" w:line="230" w:lineRule="auto"/>
        <w:ind w:right="53"/>
        <w:jc w:val="both"/>
        <w:rPr>
          <w:rFonts w:ascii="Times New Roman" w:hAnsi="Times New Roman" w:cs="Times New Roman"/>
        </w:rPr>
      </w:pPr>
      <w:r>
        <w:rPr>
          <w:rFonts w:ascii="Times New Roman" w:eastAsia="Times New Roman" w:hAnsi="Times New Roman" w:cs="Times New Roman"/>
          <w:lang w:val="en-GB"/>
        </w:rPr>
        <w:t>“We continued to make significant progress with the neratinib clinical program in the third quarter,</w:t>
      </w:r>
      <w:r w:rsidRPr="00DC6CE2">
        <w:rPr>
          <w:rFonts w:ascii="Times New Roman" w:eastAsia="Times New Roman" w:hAnsi="Times New Roman" w:cs="Times New Roman"/>
          <w:lang w:val="en-GB"/>
        </w:rPr>
        <w:t>” said Alan H. Auerbach, Chairman, Chief Executive Officer and President of Puma.  “</w:t>
      </w:r>
      <w:r w:rsidRPr="008A3DF7">
        <w:rPr>
          <w:rFonts w:ascii="Times New Roman" w:eastAsia="Times New Roman" w:hAnsi="Times New Roman" w:cs="Times New Roman"/>
          <w:lang w:val="en-GB"/>
        </w:rPr>
        <w:t>Puma achieved a number of milestones</w:t>
      </w:r>
      <w:r>
        <w:rPr>
          <w:rFonts w:ascii="Times New Roman" w:eastAsia="Times New Roman" w:hAnsi="Times New Roman" w:cs="Times New Roman"/>
          <w:lang w:val="en-GB"/>
        </w:rPr>
        <w:t>,</w:t>
      </w:r>
      <w:r w:rsidRPr="008A3DF7">
        <w:rPr>
          <w:rFonts w:ascii="Times New Roman" w:eastAsia="Times New Roman" w:hAnsi="Times New Roman" w:cs="Times New Roman"/>
          <w:lang w:val="en-GB"/>
        </w:rPr>
        <w:t xml:space="preserve"> including </w:t>
      </w:r>
      <w:r>
        <w:rPr>
          <w:rFonts w:ascii="Times New Roman" w:eastAsia="Times New Roman" w:hAnsi="Times New Roman" w:cs="Times New Roman"/>
          <w:lang w:val="en-GB"/>
        </w:rPr>
        <w:t xml:space="preserve">the presentation of </w:t>
      </w:r>
      <w:r w:rsidRPr="005F465F">
        <w:rPr>
          <w:rFonts w:ascii="Times New Roman" w:eastAsia="Times New Roman" w:hAnsi="Times New Roman" w:cs="Times New Roman"/>
          <w:lang w:val="en-GB"/>
        </w:rPr>
        <w:t xml:space="preserve">additional data </w:t>
      </w:r>
      <w:r>
        <w:rPr>
          <w:rFonts w:ascii="Times New Roman" w:eastAsia="Times New Roman" w:hAnsi="Times New Roman" w:cs="Times New Roman"/>
          <w:lang w:val="en-GB"/>
        </w:rPr>
        <w:t xml:space="preserve">on patients with centrally confirmed HER2-positive disease </w:t>
      </w:r>
      <w:r w:rsidRPr="005F465F">
        <w:rPr>
          <w:rFonts w:ascii="Times New Roman" w:eastAsia="Times New Roman" w:hAnsi="Times New Roman" w:cs="Times New Roman"/>
          <w:lang w:val="en-GB"/>
        </w:rPr>
        <w:t xml:space="preserve">from our Phase III </w:t>
      </w:r>
      <w:proofErr w:type="spellStart"/>
      <w:r>
        <w:rPr>
          <w:rFonts w:ascii="Times New Roman" w:eastAsia="Times New Roman" w:hAnsi="Times New Roman" w:cs="Times New Roman"/>
          <w:lang w:val="en-GB"/>
        </w:rPr>
        <w:t>ExteNET</w:t>
      </w:r>
      <w:proofErr w:type="spellEnd"/>
      <w:r>
        <w:rPr>
          <w:rFonts w:ascii="Times New Roman" w:eastAsia="Times New Roman" w:hAnsi="Times New Roman" w:cs="Times New Roman"/>
          <w:lang w:val="en-GB"/>
        </w:rPr>
        <w:t xml:space="preserve"> </w:t>
      </w:r>
      <w:r w:rsidRPr="005F465F">
        <w:rPr>
          <w:rFonts w:ascii="Times New Roman" w:hAnsi="Times New Roman" w:cs="Times New Roman"/>
        </w:rPr>
        <w:t xml:space="preserve">Trial at the American Society of Clinical Oncology (ASCO) 2015 Breast Cancer Symposium </w:t>
      </w:r>
      <w:r>
        <w:rPr>
          <w:rFonts w:ascii="Times New Roman" w:hAnsi="Times New Roman" w:cs="Times New Roman"/>
        </w:rPr>
        <w:t xml:space="preserve">and the </w:t>
      </w:r>
      <w:r w:rsidRPr="005F465F">
        <w:rPr>
          <w:rFonts w:ascii="Times New Roman" w:hAnsi="Times New Roman" w:cs="Times New Roman"/>
        </w:rPr>
        <w:t xml:space="preserve">publication in the Journal of the National Comprehensive Cancer Network of a patient with HER2 non-amplified (HER2-negative) metastatic breast cancer who also had a HER2 activating mutation </w:t>
      </w:r>
      <w:r>
        <w:rPr>
          <w:rFonts w:ascii="Times New Roman" w:hAnsi="Times New Roman" w:cs="Times New Roman"/>
        </w:rPr>
        <w:t xml:space="preserve">and </w:t>
      </w:r>
      <w:r w:rsidRPr="005F465F">
        <w:rPr>
          <w:rFonts w:ascii="Times New Roman" w:hAnsi="Times New Roman" w:cs="Times New Roman"/>
        </w:rPr>
        <w:t>was successfully treated with PB272.</w:t>
      </w:r>
      <w:r>
        <w:rPr>
          <w:rFonts w:ascii="Times New Roman" w:hAnsi="Times New Roman" w:cs="Times New Roman"/>
        </w:rPr>
        <w:t xml:space="preserve">  We continue to</w:t>
      </w:r>
      <w:r w:rsidRPr="00C776B6">
        <w:rPr>
          <w:rFonts w:ascii="Times New Roman" w:hAnsi="Times New Roman" w:cs="Times New Roman"/>
        </w:rPr>
        <w:t xml:space="preserve"> anticipate filing for regulatory approval of PB272 for the extended adjuvant treatment of HER2-positive breast cancer in the first quarter of 2016.</w:t>
      </w:r>
    </w:p>
    <w:p w:rsidR="0072191F" w:rsidRDefault="004C7D80" w:rsidP="00B2198E">
      <w:pPr>
        <w:autoSpaceDE/>
        <w:autoSpaceDN/>
        <w:adjustRightInd/>
        <w:spacing w:after="0" w:line="230" w:lineRule="auto"/>
        <w:ind w:right="53"/>
        <w:jc w:val="both"/>
        <w:rPr>
          <w:rFonts w:ascii="Times New Roman" w:eastAsia="Times New Roman" w:hAnsi="Times New Roman" w:cs="Times New Roman"/>
          <w:lang w:val="en-GB"/>
        </w:rPr>
      </w:pPr>
    </w:p>
    <w:p w:rsidR="008A3DF7" w:rsidRDefault="00C402D0" w:rsidP="00667FD2">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“We anticipate a number of additional milestones through the end of 2015 and beyond.  These include </w:t>
      </w:r>
      <w:r w:rsidRPr="008A3DF7">
        <w:rPr>
          <w:rFonts w:ascii="Times New Roman" w:eastAsia="Times New Roman" w:hAnsi="Times New Roman" w:cs="Times New Roman"/>
        </w:rPr>
        <w:t xml:space="preserve">(i) presentations </w:t>
      </w:r>
      <w:r>
        <w:rPr>
          <w:rFonts w:ascii="Times New Roman" w:eastAsia="Times New Roman" w:hAnsi="Times New Roman" w:cs="Times New Roman"/>
        </w:rPr>
        <w:t>of additional data from</w:t>
      </w:r>
      <w:r w:rsidRPr="008A3DF7">
        <w:rPr>
          <w:rFonts w:ascii="Times New Roman" w:eastAsia="Times New Roman" w:hAnsi="Times New Roman" w:cs="Times New Roman"/>
        </w:rPr>
        <w:t xml:space="preserve"> the Phase III </w:t>
      </w:r>
      <w:proofErr w:type="spellStart"/>
      <w:r w:rsidRPr="008A3DF7">
        <w:rPr>
          <w:rFonts w:ascii="Times New Roman" w:eastAsia="Times New Roman" w:hAnsi="Times New Roman" w:cs="Times New Roman"/>
        </w:rPr>
        <w:t>ExteNET</w:t>
      </w:r>
      <w:proofErr w:type="spellEnd"/>
      <w:r w:rsidRPr="008A3DF7">
        <w:rPr>
          <w:rFonts w:ascii="Times New Roman" w:eastAsia="Times New Roman" w:hAnsi="Times New Roman" w:cs="Times New Roman"/>
        </w:rPr>
        <w:t xml:space="preserve"> </w:t>
      </w:r>
      <w:r>
        <w:rPr>
          <w:rFonts w:ascii="Times New Roman" w:eastAsia="Times New Roman" w:hAnsi="Times New Roman" w:cs="Times New Roman"/>
        </w:rPr>
        <w:t>T</w:t>
      </w:r>
      <w:r w:rsidRPr="008A3DF7">
        <w:rPr>
          <w:rFonts w:ascii="Times New Roman" w:eastAsia="Times New Roman" w:hAnsi="Times New Roman" w:cs="Times New Roman"/>
        </w:rPr>
        <w:t xml:space="preserve">rial </w:t>
      </w:r>
      <w:r w:rsidRPr="00B55746">
        <w:rPr>
          <w:rFonts w:ascii="Times New Roman" w:eastAsia="Times New Roman" w:hAnsi="Times New Roman" w:cs="Times New Roman"/>
        </w:rPr>
        <w:t xml:space="preserve">in the extended adjuvant treatment of early stage HER2-positive breast cancer </w:t>
      </w:r>
      <w:r w:rsidRPr="008A3DF7">
        <w:rPr>
          <w:rFonts w:ascii="Times New Roman" w:eastAsia="Times New Roman" w:hAnsi="Times New Roman" w:cs="Times New Roman"/>
        </w:rPr>
        <w:t>(anticipated</w:t>
      </w:r>
      <w:r>
        <w:rPr>
          <w:rFonts w:ascii="Times New Roman" w:eastAsia="Times New Roman" w:hAnsi="Times New Roman" w:cs="Times New Roman"/>
        </w:rPr>
        <w:t xml:space="preserve"> in the</w:t>
      </w:r>
      <w:r w:rsidRPr="008A3DF7">
        <w:rPr>
          <w:rFonts w:ascii="Times New Roman" w:eastAsia="Times New Roman" w:hAnsi="Times New Roman" w:cs="Times New Roman"/>
        </w:rPr>
        <w:t xml:space="preserve"> </w:t>
      </w:r>
      <w:r>
        <w:rPr>
          <w:rFonts w:ascii="Times New Roman" w:eastAsia="Times New Roman" w:hAnsi="Times New Roman" w:cs="Times New Roman"/>
        </w:rPr>
        <w:t>fourth quarter</w:t>
      </w:r>
      <w:r w:rsidRPr="008A3DF7">
        <w:rPr>
          <w:rFonts w:ascii="Times New Roman" w:eastAsia="Times New Roman" w:hAnsi="Times New Roman" w:cs="Times New Roman"/>
        </w:rPr>
        <w:t xml:space="preserve"> of 2015)</w:t>
      </w:r>
      <w:r>
        <w:rPr>
          <w:rFonts w:ascii="Times New Roman" w:eastAsia="Times New Roman" w:hAnsi="Times New Roman" w:cs="Times New Roman"/>
        </w:rPr>
        <w:t>; (ii) publication of</w:t>
      </w:r>
      <w:r w:rsidRPr="008A3DF7">
        <w:rPr>
          <w:rFonts w:ascii="Times New Roman" w:eastAsia="Times New Roman" w:hAnsi="Times New Roman" w:cs="Times New Roman"/>
        </w:rPr>
        <w:t xml:space="preserve"> Phase III </w:t>
      </w:r>
      <w:proofErr w:type="spellStart"/>
      <w:r w:rsidRPr="008A3DF7">
        <w:rPr>
          <w:rFonts w:ascii="Times New Roman" w:eastAsia="Times New Roman" w:hAnsi="Times New Roman" w:cs="Times New Roman"/>
        </w:rPr>
        <w:t>ExteNET</w:t>
      </w:r>
      <w:proofErr w:type="spellEnd"/>
      <w:r w:rsidRPr="008A3DF7">
        <w:rPr>
          <w:rFonts w:ascii="Times New Roman" w:eastAsia="Times New Roman" w:hAnsi="Times New Roman" w:cs="Times New Roman"/>
        </w:rPr>
        <w:t xml:space="preserve"> </w:t>
      </w:r>
      <w:r>
        <w:rPr>
          <w:rFonts w:ascii="Times New Roman" w:eastAsia="Times New Roman" w:hAnsi="Times New Roman" w:cs="Times New Roman"/>
        </w:rPr>
        <w:t>T</w:t>
      </w:r>
      <w:r w:rsidRPr="008A3DF7">
        <w:rPr>
          <w:rFonts w:ascii="Times New Roman" w:eastAsia="Times New Roman" w:hAnsi="Times New Roman" w:cs="Times New Roman"/>
        </w:rPr>
        <w:t xml:space="preserve">rial results (anticipated </w:t>
      </w:r>
      <w:r>
        <w:rPr>
          <w:rFonts w:ascii="Times New Roman" w:eastAsia="Times New Roman" w:hAnsi="Times New Roman" w:cs="Times New Roman"/>
        </w:rPr>
        <w:t xml:space="preserve">in the fourth quarter of 2015); </w:t>
      </w:r>
      <w:r w:rsidRPr="008A3DF7">
        <w:rPr>
          <w:rFonts w:ascii="Times New Roman" w:eastAsia="Times New Roman" w:hAnsi="Times New Roman" w:cs="Times New Roman"/>
        </w:rPr>
        <w:t xml:space="preserve">(iii) </w:t>
      </w:r>
      <w:r>
        <w:rPr>
          <w:rFonts w:ascii="Times New Roman" w:eastAsia="Times New Roman" w:hAnsi="Times New Roman" w:cs="Times New Roman"/>
        </w:rPr>
        <w:t xml:space="preserve">presentation of the </w:t>
      </w:r>
      <w:r w:rsidRPr="008A3DF7">
        <w:rPr>
          <w:rFonts w:ascii="Times New Roman" w:eastAsia="Times New Roman" w:hAnsi="Times New Roman" w:cs="Times New Roman"/>
        </w:rPr>
        <w:t xml:space="preserve">Phase II FB-7 trial of PB272 as a </w:t>
      </w:r>
      <w:proofErr w:type="spellStart"/>
      <w:r w:rsidRPr="008A3DF7">
        <w:rPr>
          <w:rFonts w:ascii="Times New Roman" w:eastAsia="Times New Roman" w:hAnsi="Times New Roman" w:cs="Times New Roman"/>
        </w:rPr>
        <w:t>neoadjuvant</w:t>
      </w:r>
      <w:proofErr w:type="spellEnd"/>
      <w:r w:rsidRPr="008A3DF7">
        <w:rPr>
          <w:rFonts w:ascii="Times New Roman" w:eastAsia="Times New Roman" w:hAnsi="Times New Roman" w:cs="Times New Roman"/>
        </w:rPr>
        <w:t xml:space="preserve"> treatment for patients with HER2-positive breast cancer (anticipated in the </w:t>
      </w:r>
      <w:r>
        <w:rPr>
          <w:rFonts w:ascii="Times New Roman" w:eastAsia="Times New Roman" w:hAnsi="Times New Roman" w:cs="Times New Roman"/>
        </w:rPr>
        <w:t>fourth</w:t>
      </w:r>
      <w:r w:rsidRPr="008A3DF7">
        <w:rPr>
          <w:rFonts w:ascii="Times New Roman" w:eastAsia="Times New Roman" w:hAnsi="Times New Roman" w:cs="Times New Roman"/>
        </w:rPr>
        <w:t xml:space="preserve"> quarter of 2015); (iv) </w:t>
      </w:r>
      <w:r>
        <w:rPr>
          <w:rFonts w:ascii="Times New Roman" w:eastAsia="Times New Roman" w:hAnsi="Times New Roman" w:cs="Times New Roman"/>
        </w:rPr>
        <w:t>presentation of</w:t>
      </w:r>
      <w:r w:rsidRPr="008A3DF7">
        <w:rPr>
          <w:rFonts w:ascii="Times New Roman" w:eastAsia="Times New Roman" w:hAnsi="Times New Roman" w:cs="Times New Roman"/>
        </w:rPr>
        <w:t xml:space="preserve"> data from our Phase II trial of PB272 in HER2 non-amplified breast </w:t>
      </w:r>
      <w:r w:rsidRPr="008A3DF7">
        <w:rPr>
          <w:rFonts w:ascii="Times New Roman" w:eastAsia="Times New Roman" w:hAnsi="Times New Roman" w:cs="Times New Roman"/>
        </w:rPr>
        <w:lastRenderedPageBreak/>
        <w:t>cancer that has a HER2 mutation (anticipated in the fourth quarter of 2015); (v) report</w:t>
      </w:r>
      <w:r>
        <w:rPr>
          <w:rFonts w:ascii="Times New Roman" w:eastAsia="Times New Roman" w:hAnsi="Times New Roman" w:cs="Times New Roman"/>
        </w:rPr>
        <w:t>ing</w:t>
      </w:r>
      <w:r w:rsidRPr="008A3DF7">
        <w:rPr>
          <w:rFonts w:ascii="Times New Roman" w:eastAsia="Times New Roman" w:hAnsi="Times New Roman" w:cs="Times New Roman"/>
        </w:rPr>
        <w:t xml:space="preserve"> initial data from the Phase II trial of neratinib in extended adjuvant HER2</w:t>
      </w:r>
      <w:r>
        <w:rPr>
          <w:rFonts w:ascii="Times New Roman" w:eastAsia="Times New Roman" w:hAnsi="Times New Roman" w:cs="Times New Roman"/>
        </w:rPr>
        <w:t>-</w:t>
      </w:r>
      <w:r w:rsidRPr="008A3DF7">
        <w:rPr>
          <w:rFonts w:ascii="Times New Roman" w:eastAsia="Times New Roman" w:hAnsi="Times New Roman" w:cs="Times New Roman"/>
        </w:rPr>
        <w:t xml:space="preserve">positive early stage breast cancer using </w:t>
      </w:r>
      <w:proofErr w:type="spellStart"/>
      <w:r w:rsidRPr="008A3DF7">
        <w:rPr>
          <w:rFonts w:ascii="Times New Roman" w:eastAsia="Times New Roman" w:hAnsi="Times New Roman" w:cs="Times New Roman"/>
        </w:rPr>
        <w:t>loperamide</w:t>
      </w:r>
      <w:proofErr w:type="spellEnd"/>
      <w:r w:rsidRPr="008A3DF7">
        <w:rPr>
          <w:rFonts w:ascii="Times New Roman" w:eastAsia="Times New Roman" w:hAnsi="Times New Roman" w:cs="Times New Roman"/>
        </w:rPr>
        <w:t xml:space="preserve"> prophylaxis (anticipated in the fourth quarter of 2015); (vi) </w:t>
      </w:r>
      <w:r>
        <w:rPr>
          <w:rFonts w:ascii="Times New Roman" w:eastAsia="Times New Roman" w:hAnsi="Times New Roman" w:cs="Times New Roman"/>
        </w:rPr>
        <w:t xml:space="preserve">publication of results to date on the use of prophylactic </w:t>
      </w:r>
      <w:proofErr w:type="spellStart"/>
      <w:r>
        <w:rPr>
          <w:rFonts w:ascii="Times New Roman" w:eastAsia="Times New Roman" w:hAnsi="Times New Roman" w:cs="Times New Roman"/>
        </w:rPr>
        <w:t>loperamide</w:t>
      </w:r>
      <w:proofErr w:type="spellEnd"/>
      <w:r>
        <w:rPr>
          <w:rFonts w:ascii="Times New Roman" w:eastAsia="Times New Roman" w:hAnsi="Times New Roman" w:cs="Times New Roman"/>
        </w:rPr>
        <w:t xml:space="preserve"> to reduce the neratinib-related diarrhea (anticipated in the fourth quarter of 2015); (vii) </w:t>
      </w:r>
      <w:r w:rsidRPr="008A3DF7">
        <w:rPr>
          <w:rFonts w:ascii="Times New Roman" w:eastAsia="Times New Roman" w:hAnsi="Times New Roman" w:cs="Times New Roman"/>
        </w:rPr>
        <w:t>complet</w:t>
      </w:r>
      <w:r>
        <w:rPr>
          <w:rFonts w:ascii="Times New Roman" w:eastAsia="Times New Roman" w:hAnsi="Times New Roman" w:cs="Times New Roman"/>
        </w:rPr>
        <w:t>ing</w:t>
      </w:r>
      <w:r w:rsidRPr="008A3DF7">
        <w:rPr>
          <w:rFonts w:ascii="Times New Roman" w:eastAsia="Times New Roman" w:hAnsi="Times New Roman" w:cs="Times New Roman"/>
        </w:rPr>
        <w:t xml:space="preserve"> the ongoing Phase II trial of PB272 in patients with HER2-positive metastatic breast cancer that has metastasized to the brain (anticipated</w:t>
      </w:r>
      <w:r>
        <w:rPr>
          <w:rFonts w:ascii="Times New Roman" w:eastAsia="Times New Roman" w:hAnsi="Times New Roman" w:cs="Times New Roman"/>
        </w:rPr>
        <w:t xml:space="preserve"> in the</w:t>
      </w:r>
      <w:r w:rsidRPr="008A3DF7">
        <w:rPr>
          <w:rFonts w:ascii="Times New Roman" w:eastAsia="Times New Roman" w:hAnsi="Times New Roman" w:cs="Times New Roman"/>
        </w:rPr>
        <w:t xml:space="preserve"> </w:t>
      </w:r>
      <w:r>
        <w:rPr>
          <w:rFonts w:ascii="Times New Roman" w:eastAsia="Times New Roman" w:hAnsi="Times New Roman" w:cs="Times New Roman"/>
        </w:rPr>
        <w:t>first half of 2016</w:t>
      </w:r>
      <w:r w:rsidRPr="008A3DF7">
        <w:rPr>
          <w:rFonts w:ascii="Times New Roman" w:eastAsia="Times New Roman" w:hAnsi="Times New Roman" w:cs="Times New Roman"/>
        </w:rPr>
        <w:t>); and (vii</w:t>
      </w:r>
      <w:r>
        <w:rPr>
          <w:rFonts w:ascii="Times New Roman" w:eastAsia="Times New Roman" w:hAnsi="Times New Roman" w:cs="Times New Roman"/>
        </w:rPr>
        <w:t>i</w:t>
      </w:r>
      <w:r w:rsidRPr="008A3DF7">
        <w:rPr>
          <w:rFonts w:ascii="Times New Roman" w:eastAsia="Times New Roman" w:hAnsi="Times New Roman" w:cs="Times New Roman"/>
        </w:rPr>
        <w:t>) expand</w:t>
      </w:r>
      <w:r>
        <w:rPr>
          <w:rFonts w:ascii="Times New Roman" w:eastAsia="Times New Roman" w:hAnsi="Times New Roman" w:cs="Times New Roman"/>
        </w:rPr>
        <w:t>ing</w:t>
      </w:r>
      <w:r w:rsidRPr="008A3DF7">
        <w:rPr>
          <w:rFonts w:ascii="Times New Roman" w:eastAsia="Times New Roman" w:hAnsi="Times New Roman" w:cs="Times New Roman"/>
        </w:rPr>
        <w:t xml:space="preserve"> additional cohorts in our Phase II basket trial of PB272 in patients with solid tumors with activating HER2 mutations (anticipated </w:t>
      </w:r>
      <w:r>
        <w:rPr>
          <w:rFonts w:ascii="Times New Roman" w:eastAsia="Times New Roman" w:hAnsi="Times New Roman" w:cs="Times New Roman"/>
        </w:rPr>
        <w:t>in the fourth quarter</w:t>
      </w:r>
      <w:r w:rsidRPr="008A3DF7">
        <w:rPr>
          <w:rFonts w:ascii="Times New Roman" w:eastAsia="Times New Roman" w:hAnsi="Times New Roman" w:cs="Times New Roman"/>
        </w:rPr>
        <w:t xml:space="preserve"> of 2015).”</w:t>
      </w:r>
      <w:r w:rsidRPr="008A3DF7">
        <w:rPr>
          <w:rFonts w:ascii="Times New Roman" w:eastAsia="Times New Roman" w:hAnsi="Times New Roman" w:cs="Times New Roman"/>
          <w:lang w:val="en-GB"/>
        </w:rPr>
        <w:t xml:space="preserve"> </w:t>
      </w:r>
    </w:p>
    <w:p w:rsidR="00C776B6" w:rsidRDefault="004C7D80" w:rsidP="00667FD2">
      <w:pPr>
        <w:autoSpaceDE/>
        <w:autoSpaceDN/>
        <w:adjustRightInd/>
        <w:spacing w:after="0" w:line="230" w:lineRule="auto"/>
        <w:ind w:right="53"/>
        <w:jc w:val="both"/>
        <w:rPr>
          <w:rFonts w:ascii="Times New Roman" w:eastAsia="Times New Roman" w:hAnsi="Times New Roman" w:cs="Times New Roman"/>
          <w:lang w:val="en-GB"/>
        </w:rPr>
      </w:pPr>
    </w:p>
    <w:p w:rsidR="00B2198E" w:rsidRDefault="00C402D0" w:rsidP="00667FD2">
      <w:pPr>
        <w:autoSpaceDE/>
        <w:autoSpaceDN/>
        <w:adjustRightInd/>
        <w:spacing w:after="0" w:line="230" w:lineRule="auto"/>
        <w:ind w:right="53"/>
        <w:jc w:val="both"/>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2198E" w:rsidRDefault="004C7D80" w:rsidP="00B2198E">
      <w:pPr>
        <w:widowControl/>
        <w:autoSpaceDE/>
        <w:autoSpaceDN/>
        <w:adjustRightInd/>
        <w:spacing w:after="0" w:line="240" w:lineRule="auto"/>
        <w:rPr>
          <w:rFonts w:ascii="Times New Roman" w:eastAsia="Times New Roman" w:hAnsi="Times New Roman" w:cs="Times New Roman"/>
          <w:lang w:val="en-GB"/>
        </w:rPr>
      </w:pPr>
    </w:p>
    <w:p w:rsidR="00B2198E" w:rsidRDefault="00C402D0" w:rsidP="00752CF5">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60.7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36.0</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nine months ended September 30, 2015</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were $178.2 million, compared to $94.7</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for the nine months ended September 30, 2014.  The increase in operating expenses for the third quarter of 2015 compared </w:t>
      </w:r>
      <w:r w:rsidR="000C3311">
        <w:rPr>
          <w:rFonts w:ascii="Times New Roman" w:eastAsia="Times New Roman" w:hAnsi="Times New Roman" w:cs="Times New Roman"/>
          <w:lang w:val="en-GB"/>
        </w:rPr>
        <w:t xml:space="preserve">to </w:t>
      </w:r>
      <w:r>
        <w:rPr>
          <w:rFonts w:ascii="Times New Roman" w:eastAsia="Times New Roman" w:hAnsi="Times New Roman" w:cs="Times New Roman"/>
          <w:lang w:val="en-GB"/>
        </w:rPr>
        <w:t>the third quarter of 2014 was primarily driven by an increase in stock-based compensation expense of $14.4 million, an increase in clinical trial expense of $5.1 million and an increase in internal research and development expense of $3.0 million.  The increase in operating expenses for the nine months ended September 30, 2015 compared to the same period in 2014 was primarily driven by an increase in stock</w:t>
      </w:r>
      <w:r w:rsidR="00CA568A">
        <w:rPr>
          <w:rFonts w:ascii="Times New Roman" w:eastAsia="Times New Roman" w:hAnsi="Times New Roman" w:cs="Times New Roman"/>
          <w:lang w:val="en-GB"/>
        </w:rPr>
        <w:t>-</w:t>
      </w:r>
      <w:r>
        <w:rPr>
          <w:rFonts w:ascii="Times New Roman" w:eastAsia="Times New Roman" w:hAnsi="Times New Roman" w:cs="Times New Roman"/>
          <w:lang w:val="en-GB"/>
        </w:rPr>
        <w:t>based compensation of $50.5 million, an increase in clinical trial expense of $19.4 million and an increase</w:t>
      </w:r>
      <w:r w:rsidR="00CA568A">
        <w:rPr>
          <w:rFonts w:ascii="Times New Roman" w:eastAsia="Times New Roman" w:hAnsi="Times New Roman" w:cs="Times New Roman"/>
          <w:lang w:val="en-GB"/>
        </w:rPr>
        <w:t xml:space="preserve"> in</w:t>
      </w:r>
      <w:r>
        <w:rPr>
          <w:rFonts w:ascii="Times New Roman" w:eastAsia="Times New Roman" w:hAnsi="Times New Roman" w:cs="Times New Roman"/>
          <w:lang w:val="en-GB"/>
        </w:rPr>
        <w:t xml:space="preserve"> internal research and development expense of $8.2 million.</w:t>
      </w:r>
    </w:p>
    <w:p w:rsidR="00752CF5" w:rsidRDefault="004C7D80" w:rsidP="00B2198E">
      <w:pPr>
        <w:widowControl/>
        <w:autoSpaceDE/>
        <w:autoSpaceDN/>
        <w:adjustRightInd/>
        <w:spacing w:after="0" w:line="240" w:lineRule="auto"/>
        <w:rPr>
          <w:rFonts w:ascii="Times New Roman" w:eastAsia="Times New Roman" w:hAnsi="Times New Roman" w:cs="Times New Roman"/>
          <w:lang w:val="en-GB"/>
        </w:rPr>
      </w:pPr>
    </w:p>
    <w:p w:rsidR="00B2198E" w:rsidRPr="00D83CB0" w:rsidRDefault="00C402D0"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2198E" w:rsidRDefault="004C7D80"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C402D0" w:rsidP="00B2198E">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and administrative expenses were $</w:t>
      </w:r>
      <w:r>
        <w:rPr>
          <w:rFonts w:ascii="Times New Roman" w:eastAsia="Times New Roman" w:hAnsi="Times New Roman" w:cs="Times New Roman"/>
          <w:lang w:val="en-GB"/>
        </w:rPr>
        <w:t>8.8</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3.9</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third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for the nine months ended September 30, 2015</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$22.2 million compared to $11.3 million for the nine months ended September 30, 2014.  </w:t>
      </w:r>
    </w:p>
    <w:p w:rsidR="00B2198E" w:rsidRDefault="004C7D80"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Pr="00D83CB0" w:rsidRDefault="00C402D0"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2198E" w:rsidRDefault="004C7D80"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C402D0"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51.9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32.1</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 quarter of 2014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Pr>
          <w:rFonts w:ascii="Times New Roman" w:eastAsia="Times New Roman" w:hAnsi="Times New Roman" w:cs="Times New Roman"/>
          <w:lang w:val="en-GB"/>
        </w:rPr>
        <w:t>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2015</w:t>
      </w:r>
      <w:r w:rsidRPr="00632DA7">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were $</w:t>
      </w:r>
      <w:r>
        <w:rPr>
          <w:rFonts w:ascii="Times New Roman" w:eastAsia="Times New Roman" w:hAnsi="Times New Roman" w:cs="Times New Roman"/>
          <w:lang w:val="en-GB"/>
        </w:rPr>
        <w:t xml:space="preserve">156.0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83.4 million 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2014</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rsidR="00B2198E" w:rsidRDefault="004C7D80" w:rsidP="00B2198E">
      <w:pPr>
        <w:autoSpaceDE/>
        <w:autoSpaceDN/>
        <w:adjustRightInd/>
        <w:spacing w:after="0" w:line="240" w:lineRule="auto"/>
        <w:ind w:right="6277"/>
        <w:jc w:val="both"/>
        <w:rPr>
          <w:rFonts w:ascii="Times New Roman" w:eastAsia="Times New Roman" w:hAnsi="Times New Roman" w:cs="Times New Roman"/>
          <w:b/>
        </w:rPr>
      </w:pPr>
    </w:p>
    <w:p w:rsidR="00B2198E" w:rsidRPr="00A83034" w:rsidRDefault="00C402D0" w:rsidP="00B2198E">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2198E" w:rsidRPr="00A83034" w:rsidRDefault="004C7D80" w:rsidP="00B2198E">
      <w:pPr>
        <w:autoSpaceDE/>
        <w:autoSpaceDN/>
        <w:adjustRightInd/>
        <w:spacing w:after="0" w:line="260" w:lineRule="exact"/>
        <w:jc w:val="both"/>
        <w:rPr>
          <w:rFonts w:ascii="Times New Roman" w:eastAsia="Times New Roman" w:hAnsi="Times New Roman" w:cs="Times New Roman"/>
        </w:rPr>
      </w:pPr>
    </w:p>
    <w:p w:rsidR="00B2198E" w:rsidRPr="000159FD" w:rsidRDefault="00C402D0"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Puma Biotechnology, Inc. is a biopharmaceutical company </w:t>
      </w:r>
      <w:r>
        <w:rPr>
          <w:rFonts w:ascii="Times New Roman" w:eastAsia="Times New Roman" w:hAnsi="Times New Roman" w:cs="Times New Roman"/>
          <w:lang w:val="en-GB"/>
        </w:rPr>
        <w:t xml:space="preserve">with a focus on the acquisition, development and commercialization of innovative products to enhance cancer care.  </w:t>
      </w:r>
      <w:r w:rsidRPr="000159FD">
        <w:rPr>
          <w:rFonts w:ascii="Times New Roman" w:eastAsia="Times New Roman" w:hAnsi="Times New Roman" w:cs="Times New Roman"/>
          <w:lang w:val="en-GB"/>
        </w:rPr>
        <w:t xml:space="preserve">The Company </w:t>
      </w:r>
      <w:r>
        <w:rPr>
          <w:rFonts w:ascii="Times New Roman" w:eastAsia="Times New Roman" w:hAnsi="Times New Roman" w:cs="Times New Roman"/>
          <w:lang w:val="en-GB"/>
        </w:rPr>
        <w:t xml:space="preserve">aims to acquire proprietary rights to these products, by license or otherwise, fund their research and development and bring the products to market.  </w:t>
      </w:r>
      <w:r w:rsidRPr="000159FD">
        <w:rPr>
          <w:rFonts w:ascii="Times New Roman" w:eastAsia="Times New Roman" w:hAnsi="Times New Roman" w:cs="Times New Roman"/>
          <w:lang w:val="en-GB"/>
        </w:rPr>
        <w:t xml:space="preserve">The Company is initially focused on the development of PB272 (oral neratinib), a potent irreversible tyrosine kinase inhibitor, for the treatment of patients with HER2-positive breast cancer and patients with non-small cell lung cancer, breast cancer and other solid </w:t>
      </w:r>
      <w:proofErr w:type="spellStart"/>
      <w:r w:rsidRPr="000159FD">
        <w:rPr>
          <w:rFonts w:ascii="Times New Roman" w:eastAsia="Times New Roman" w:hAnsi="Times New Roman" w:cs="Times New Roman"/>
          <w:lang w:val="en-GB"/>
        </w:rPr>
        <w:t>tumors</w:t>
      </w:r>
      <w:proofErr w:type="spellEnd"/>
      <w:r w:rsidRPr="000159FD">
        <w:rPr>
          <w:rFonts w:ascii="Times New Roman" w:eastAsia="Times New Roman" w:hAnsi="Times New Roman" w:cs="Times New Roman"/>
          <w:lang w:val="en-GB"/>
        </w:rPr>
        <w:t xml:space="preserve"> that have a HER2 mutation.</w:t>
      </w:r>
    </w:p>
    <w:p w:rsidR="00B2198E" w:rsidRPr="000159FD" w:rsidRDefault="004C7D80" w:rsidP="00B2198E">
      <w:pPr>
        <w:autoSpaceDE/>
        <w:adjustRightInd/>
        <w:spacing w:after="0" w:line="228" w:lineRule="auto"/>
        <w:ind w:right="53"/>
        <w:jc w:val="both"/>
        <w:rPr>
          <w:rFonts w:ascii="Times New Roman" w:eastAsia="Times New Roman" w:hAnsi="Times New Roman" w:cs="Times New Roman"/>
          <w:lang w:val="en-GB"/>
        </w:rPr>
      </w:pPr>
    </w:p>
    <w:p w:rsidR="00B2198E" w:rsidRPr="000159FD" w:rsidRDefault="00C402D0"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2198E" w:rsidRPr="00A83034" w:rsidRDefault="004C7D80" w:rsidP="00B2198E">
      <w:pPr>
        <w:autoSpaceDE/>
        <w:autoSpaceDN/>
        <w:adjustRightInd/>
        <w:spacing w:before="7" w:after="0" w:line="190" w:lineRule="exact"/>
        <w:rPr>
          <w:rFonts w:ascii="Times New Roman" w:eastAsia="Times New Roman" w:hAnsi="Times New Roman" w:cs="Times New Roman"/>
        </w:rPr>
      </w:pPr>
    </w:p>
    <w:p w:rsidR="00B2198E" w:rsidRPr="00A83034" w:rsidRDefault="00C402D0">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2198E" w:rsidRPr="00A83034" w:rsidRDefault="004C7D80">
      <w:pPr>
        <w:autoSpaceDE/>
        <w:autoSpaceDN/>
        <w:adjustRightInd/>
        <w:spacing w:before="14" w:after="0" w:line="260" w:lineRule="exact"/>
        <w:rPr>
          <w:rFonts w:ascii="Times New Roman" w:eastAsia="Times New Roman" w:hAnsi="Times New Roman" w:cs="Times New Roman"/>
        </w:rPr>
      </w:pPr>
    </w:p>
    <w:p w:rsidR="00B2198E" w:rsidRPr="000159FD" w:rsidRDefault="00C402D0" w:rsidP="00B2198E">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This press release contains forward-looking statements, including statements regarding anticipated timing for </w:t>
      </w:r>
      <w:r>
        <w:rPr>
          <w:rFonts w:ascii="Times New Roman" w:eastAsia="Times New Roman" w:hAnsi="Times New Roman" w:cs="Times New Roman"/>
          <w:lang w:val="en-GB"/>
        </w:rPr>
        <w:t xml:space="preserve">regulatory filings and for </w:t>
      </w:r>
      <w:r w:rsidRPr="000159FD">
        <w:rPr>
          <w:rFonts w:ascii="Times New Roman" w:eastAsia="Times New Roman" w:hAnsi="Times New Roman" w:cs="Times New Roman"/>
          <w:lang w:val="en-GB"/>
        </w:rPr>
        <w:t xml:space="preserve">the commencement and completion of various clinical trials and the announcement of data relative to these trials. All forward-looking statements included in this press release involve risks and uncertainties that could </w:t>
      </w:r>
      <w:proofErr w:type="gramStart"/>
      <w:r w:rsidRPr="000159FD">
        <w:rPr>
          <w:rFonts w:ascii="Times New Roman" w:eastAsia="Times New Roman" w:hAnsi="Times New Roman" w:cs="Times New Roman"/>
          <w:lang w:val="en-GB"/>
        </w:rPr>
        <w:t>cause</w:t>
      </w:r>
      <w:proofErr w:type="gramEnd"/>
      <w:r w:rsidRPr="000159FD">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These statements are based on current expectations, </w:t>
      </w:r>
      <w:r w:rsidRPr="000159FD">
        <w:rPr>
          <w:rFonts w:ascii="Times New Roman" w:eastAsia="Times New Roman" w:hAnsi="Times New Roman" w:cs="Times New Roman"/>
          <w:lang w:val="en-GB"/>
        </w:rPr>
        <w:lastRenderedPageBreak/>
        <w:t xml:space="preserve">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with the Securities and Exchange Commission from time to time, including the Company's Annual Report on Form 10-K for </w:t>
      </w:r>
      <w:r>
        <w:rPr>
          <w:rFonts w:ascii="Times New Roman" w:eastAsia="Times New Roman" w:hAnsi="Times New Roman" w:cs="Times New Roman"/>
          <w:lang w:val="en-GB"/>
        </w:rPr>
        <w:t>the year ended December 31, 2014 and Quarterly Reports on Form 10-Q for the quarters ended June 30, 2015 and September 30, 2015</w:t>
      </w:r>
      <w:r w:rsidRPr="000159FD">
        <w:rPr>
          <w:rFonts w:ascii="Times New Roman" w:eastAsia="Times New Roman" w:hAnsi="Times New Roman" w:cs="Times New Roman"/>
          <w:lang w:val="en-GB"/>
        </w:rPr>
        <w:t>. Readers are cautioned not to place undue reliance on these forward-looking statements, which speak only as of the date hereof. The Company assumes no obligation to update these forward-looking statements, except as required by law.</w:t>
      </w:r>
    </w:p>
    <w:p w:rsidR="00B2198E" w:rsidRDefault="004C7D80">
      <w:pPr>
        <w:autoSpaceDE/>
        <w:autoSpaceDN/>
        <w:adjustRightInd/>
        <w:spacing w:after="0" w:line="240" w:lineRule="auto"/>
        <w:ind w:left="90" w:right="-20"/>
        <w:rPr>
          <w:rFonts w:ascii="Times New Roman" w:eastAsia="Times New Roman" w:hAnsi="Times New Roman" w:cs="Times New Roman"/>
          <w:sz w:val="20"/>
          <w:szCs w:val="20"/>
        </w:rPr>
      </w:pPr>
    </w:p>
    <w:p w:rsidR="00B2198E" w:rsidRDefault="004C7D80">
      <w:pPr>
        <w:autoSpaceDE/>
        <w:autoSpaceDN/>
        <w:adjustRightInd/>
        <w:spacing w:after="0" w:line="240" w:lineRule="auto"/>
        <w:ind w:left="90" w:right="-20"/>
        <w:rPr>
          <w:rFonts w:ascii="Times New Roman" w:eastAsia="Times New Roman" w:hAnsi="Times New Roman" w:cs="Times New Roman"/>
          <w:b/>
          <w:sz w:val="24"/>
          <w:szCs w:val="24"/>
        </w:rPr>
      </w:pPr>
    </w:p>
    <w:p w:rsidR="00B2198E" w:rsidRDefault="00C402D0">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2198E" w:rsidRDefault="004C7D80">
      <w:pPr>
        <w:autoSpaceDE/>
        <w:autoSpaceDN/>
        <w:adjustRightInd/>
        <w:spacing w:after="0" w:line="240" w:lineRule="auto"/>
        <w:ind w:right="-20"/>
        <w:rPr>
          <w:rFonts w:ascii="Times New Roman" w:eastAsia="Times New Roman" w:hAnsi="Times New Roman" w:cs="Times New Roman"/>
          <w:sz w:val="16"/>
          <w:szCs w:val="24"/>
        </w:rPr>
      </w:pPr>
    </w:p>
    <w:p w:rsidR="00B2198E" w:rsidRDefault="00C402D0" w:rsidP="00B2198E">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2198E" w:rsidRDefault="004C7D80" w:rsidP="00B2198E">
      <w:pPr>
        <w:autoSpaceDE/>
        <w:autoSpaceDN/>
        <w:adjustRightInd/>
        <w:spacing w:after="60" w:line="240" w:lineRule="auto"/>
        <w:ind w:right="1085"/>
        <w:rPr>
          <w:rFonts w:ascii="Times New Roman" w:eastAsia="Times New Roman" w:hAnsi="Times New Roman" w:cs="Times New Roman"/>
          <w:szCs w:val="24"/>
        </w:rPr>
      </w:pPr>
      <w:hyperlink r:id="rId10" w:history="1">
        <w:r w:rsidR="00C402D0">
          <w:rPr>
            <w:rFonts w:ascii="Times New Roman" w:eastAsia="Times New Roman" w:hAnsi="Times New Roman" w:cs="Times New Roman"/>
            <w:color w:val="000000"/>
            <w:szCs w:val="24"/>
            <w:u w:color="0000FF"/>
          </w:rPr>
          <w:t>info@pu</w:t>
        </w:r>
        <w:r w:rsidR="00C402D0">
          <w:rPr>
            <w:rFonts w:ascii="Times New Roman" w:eastAsia="Times New Roman" w:hAnsi="Times New Roman" w:cs="Times New Roman"/>
            <w:color w:val="000000"/>
            <w:spacing w:val="-2"/>
            <w:szCs w:val="24"/>
            <w:u w:color="0000FF"/>
          </w:rPr>
          <w:t>m</w:t>
        </w:r>
        <w:r w:rsidR="00C402D0">
          <w:rPr>
            <w:rFonts w:ascii="Times New Roman" w:eastAsia="Times New Roman" w:hAnsi="Times New Roman" w:cs="Times New Roman"/>
            <w:color w:val="000000"/>
            <w:szCs w:val="24"/>
            <w:u w:color="0000FF"/>
          </w:rPr>
          <w:t>ab</w:t>
        </w:r>
        <w:r w:rsidR="00C402D0">
          <w:rPr>
            <w:rFonts w:ascii="Times New Roman" w:eastAsia="Times New Roman" w:hAnsi="Times New Roman" w:cs="Times New Roman"/>
            <w:color w:val="000000"/>
            <w:spacing w:val="-1"/>
            <w:szCs w:val="24"/>
            <w:u w:color="0000FF"/>
          </w:rPr>
          <w:t>i</w:t>
        </w:r>
        <w:r w:rsidR="00C402D0">
          <w:rPr>
            <w:rFonts w:ascii="Times New Roman" w:eastAsia="Times New Roman" w:hAnsi="Times New Roman" w:cs="Times New Roman"/>
            <w:color w:val="000000"/>
            <w:szCs w:val="24"/>
            <w:u w:color="0000FF"/>
          </w:rPr>
          <w:t>ot</w:t>
        </w:r>
        <w:r w:rsidR="00C402D0">
          <w:rPr>
            <w:rFonts w:ascii="Times New Roman" w:eastAsia="Times New Roman" w:hAnsi="Times New Roman" w:cs="Times New Roman"/>
            <w:color w:val="000000"/>
            <w:spacing w:val="-1"/>
            <w:szCs w:val="24"/>
            <w:u w:color="0000FF"/>
          </w:rPr>
          <w:t>e</w:t>
        </w:r>
        <w:r w:rsidR="00C402D0">
          <w:rPr>
            <w:rFonts w:ascii="Times New Roman" w:eastAsia="Times New Roman" w:hAnsi="Times New Roman" w:cs="Times New Roman"/>
            <w:color w:val="000000"/>
            <w:szCs w:val="24"/>
            <w:u w:color="0000FF"/>
          </w:rPr>
          <w:t>chno</w:t>
        </w:r>
        <w:r w:rsidR="00C402D0">
          <w:rPr>
            <w:rFonts w:ascii="Times New Roman" w:eastAsia="Times New Roman" w:hAnsi="Times New Roman" w:cs="Times New Roman"/>
            <w:color w:val="000000"/>
            <w:spacing w:val="-1"/>
            <w:szCs w:val="24"/>
            <w:u w:color="0000FF"/>
          </w:rPr>
          <w:t>l</w:t>
        </w:r>
        <w:r w:rsidR="00C402D0">
          <w:rPr>
            <w:rFonts w:ascii="Times New Roman" w:eastAsia="Times New Roman" w:hAnsi="Times New Roman" w:cs="Times New Roman"/>
            <w:color w:val="000000"/>
            <w:szCs w:val="24"/>
            <w:u w:color="0000FF"/>
          </w:rPr>
          <w:t>ogy.com</w:t>
        </w:r>
      </w:hyperlink>
    </w:p>
    <w:p w:rsidR="00B2198E" w:rsidRDefault="004C7D80" w:rsidP="00B2198E">
      <w:pPr>
        <w:autoSpaceDE/>
        <w:autoSpaceDN/>
        <w:adjustRightInd/>
        <w:spacing w:after="60" w:line="260" w:lineRule="exact"/>
        <w:ind w:right="-20"/>
        <w:rPr>
          <w:rFonts w:ascii="Times New Roman" w:eastAsia="Times New Roman" w:hAnsi="Times New Roman" w:cs="Times New Roman"/>
          <w:szCs w:val="24"/>
        </w:rPr>
      </w:pPr>
      <w:hyperlink r:id="rId11" w:history="1">
        <w:r w:rsidR="00C402D0">
          <w:rPr>
            <w:rFonts w:ascii="Times New Roman" w:eastAsia="Times New Roman" w:hAnsi="Times New Roman" w:cs="Times New Roman"/>
            <w:color w:val="000000"/>
            <w:position w:val="-1"/>
            <w:szCs w:val="24"/>
            <w:u w:color="0000FF"/>
          </w:rPr>
          <w:t>ir@pu</w:t>
        </w:r>
        <w:r w:rsidR="00C402D0">
          <w:rPr>
            <w:rFonts w:ascii="Times New Roman" w:eastAsia="Times New Roman" w:hAnsi="Times New Roman" w:cs="Times New Roman"/>
            <w:color w:val="000000"/>
            <w:spacing w:val="-2"/>
            <w:position w:val="-1"/>
            <w:szCs w:val="24"/>
            <w:u w:color="0000FF"/>
          </w:rPr>
          <w:t>m</w:t>
        </w:r>
        <w:r w:rsidR="00C402D0">
          <w:rPr>
            <w:rFonts w:ascii="Times New Roman" w:eastAsia="Times New Roman" w:hAnsi="Times New Roman" w:cs="Times New Roman"/>
            <w:color w:val="000000"/>
            <w:position w:val="-1"/>
            <w:szCs w:val="24"/>
            <w:u w:color="0000FF"/>
          </w:rPr>
          <w:t>ab</w:t>
        </w:r>
        <w:r w:rsidR="00C402D0">
          <w:rPr>
            <w:rFonts w:ascii="Times New Roman" w:eastAsia="Times New Roman" w:hAnsi="Times New Roman" w:cs="Times New Roman"/>
            <w:color w:val="000000"/>
            <w:spacing w:val="-1"/>
            <w:position w:val="-1"/>
            <w:szCs w:val="24"/>
            <w:u w:color="0000FF"/>
          </w:rPr>
          <w:t>i</w:t>
        </w:r>
        <w:r w:rsidR="00C402D0">
          <w:rPr>
            <w:rFonts w:ascii="Times New Roman" w:eastAsia="Times New Roman" w:hAnsi="Times New Roman" w:cs="Times New Roman"/>
            <w:color w:val="000000"/>
            <w:position w:val="-1"/>
            <w:szCs w:val="24"/>
            <w:u w:color="0000FF"/>
          </w:rPr>
          <w:t>otechno</w:t>
        </w:r>
        <w:r w:rsidR="00C402D0">
          <w:rPr>
            <w:rFonts w:ascii="Times New Roman" w:eastAsia="Times New Roman" w:hAnsi="Times New Roman" w:cs="Times New Roman"/>
            <w:color w:val="000000"/>
            <w:spacing w:val="-1"/>
            <w:position w:val="-1"/>
            <w:szCs w:val="24"/>
            <w:u w:color="0000FF"/>
          </w:rPr>
          <w:t>l</w:t>
        </w:r>
        <w:r w:rsidR="00C402D0">
          <w:rPr>
            <w:rFonts w:ascii="Times New Roman" w:eastAsia="Times New Roman" w:hAnsi="Times New Roman" w:cs="Times New Roman"/>
            <w:color w:val="000000"/>
            <w:position w:val="-1"/>
            <w:szCs w:val="24"/>
            <w:u w:color="0000FF"/>
          </w:rPr>
          <w:t>o</w:t>
        </w:r>
        <w:r w:rsidR="00C402D0">
          <w:rPr>
            <w:rFonts w:ascii="Times New Roman" w:eastAsia="Times New Roman" w:hAnsi="Times New Roman" w:cs="Times New Roman"/>
            <w:color w:val="000000"/>
            <w:spacing w:val="-1"/>
            <w:position w:val="-1"/>
            <w:szCs w:val="24"/>
            <w:u w:color="0000FF"/>
          </w:rPr>
          <w:t>g</w:t>
        </w:r>
        <w:r w:rsidR="00C402D0">
          <w:rPr>
            <w:rFonts w:ascii="Times New Roman" w:eastAsia="Times New Roman" w:hAnsi="Times New Roman" w:cs="Times New Roman"/>
            <w:color w:val="000000"/>
            <w:spacing w:val="1"/>
            <w:position w:val="-1"/>
            <w:szCs w:val="24"/>
            <w:u w:color="0000FF"/>
          </w:rPr>
          <w:t>y</w:t>
        </w:r>
        <w:r w:rsidR="00C402D0">
          <w:rPr>
            <w:rFonts w:ascii="Times New Roman" w:eastAsia="Times New Roman" w:hAnsi="Times New Roman" w:cs="Times New Roman"/>
            <w:color w:val="000000"/>
            <w:position w:val="-1"/>
            <w:szCs w:val="24"/>
            <w:u w:color="0000FF"/>
          </w:rPr>
          <w:t>.</w:t>
        </w:r>
        <w:r w:rsidR="00C402D0">
          <w:rPr>
            <w:rFonts w:ascii="Times New Roman" w:eastAsia="Times New Roman" w:hAnsi="Times New Roman" w:cs="Times New Roman"/>
            <w:color w:val="000000"/>
            <w:spacing w:val="-2"/>
            <w:position w:val="-1"/>
            <w:szCs w:val="24"/>
            <w:u w:color="0000FF"/>
          </w:rPr>
          <w:t>c</w:t>
        </w:r>
        <w:r w:rsidR="00C402D0">
          <w:rPr>
            <w:rFonts w:ascii="Times New Roman" w:eastAsia="Times New Roman" w:hAnsi="Times New Roman" w:cs="Times New Roman"/>
            <w:color w:val="000000"/>
            <w:position w:val="-1"/>
            <w:szCs w:val="24"/>
            <w:u w:color="0000FF"/>
          </w:rPr>
          <w:t>om</w:t>
        </w:r>
      </w:hyperlink>
    </w:p>
    <w:p w:rsidR="00B2198E" w:rsidRPr="00A83034" w:rsidRDefault="004C7D80">
      <w:pPr>
        <w:autoSpaceDE/>
        <w:autoSpaceDN/>
        <w:adjustRightInd/>
        <w:spacing w:after="0" w:line="200" w:lineRule="exact"/>
        <w:rPr>
          <w:rFonts w:ascii="Times New Roman" w:eastAsia="Times New Roman" w:hAnsi="Times New Roman" w:cs="Times New Roman"/>
          <w:sz w:val="16"/>
          <w:szCs w:val="16"/>
        </w:rPr>
      </w:pPr>
    </w:p>
    <w:p w:rsidR="00B2198E" w:rsidRPr="00A83034" w:rsidRDefault="00C402D0" w:rsidP="00B2198E">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B2198E" w:rsidRPr="00A83034" w:rsidRDefault="00C402D0" w:rsidP="00B2198E">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B2198E" w:rsidRDefault="004C7D80" w:rsidP="00B2198E">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C402D0">
          <w:rPr>
            <w:rFonts w:ascii="Times New Roman" w:eastAsia="Times New Roman" w:hAnsi="Times New Roman" w:cs="Times New Roman"/>
            <w:color w:val="000000"/>
            <w:szCs w:val="24"/>
            <w:u w:color="0000FF"/>
          </w:rPr>
          <w:t>dav</w:t>
        </w:r>
        <w:r w:rsidR="00C402D0">
          <w:rPr>
            <w:rFonts w:ascii="Times New Roman" w:eastAsia="Times New Roman" w:hAnsi="Times New Roman" w:cs="Times New Roman"/>
            <w:color w:val="000000"/>
            <w:spacing w:val="-1"/>
            <w:szCs w:val="24"/>
            <w:u w:color="0000FF"/>
          </w:rPr>
          <w:t>i</w:t>
        </w:r>
        <w:r w:rsidR="00C402D0">
          <w:rPr>
            <w:rFonts w:ascii="Times New Roman" w:eastAsia="Times New Roman" w:hAnsi="Times New Roman" w:cs="Times New Roman"/>
            <w:color w:val="000000"/>
            <w:szCs w:val="24"/>
            <w:u w:color="0000FF"/>
          </w:rPr>
          <w:t>d.schul</w:t>
        </w:r>
        <w:r w:rsidR="00C402D0">
          <w:rPr>
            <w:rFonts w:ascii="Times New Roman" w:eastAsia="Times New Roman" w:hAnsi="Times New Roman" w:cs="Times New Roman"/>
            <w:color w:val="000000"/>
            <w:spacing w:val="-1"/>
            <w:szCs w:val="24"/>
            <w:u w:color="0000FF"/>
          </w:rPr>
          <w:t>l</w:t>
        </w:r>
        <w:r w:rsidR="00C402D0">
          <w:rPr>
            <w:rFonts w:ascii="Times New Roman" w:eastAsia="Times New Roman" w:hAnsi="Times New Roman" w:cs="Times New Roman"/>
            <w:color w:val="000000"/>
            <w:szCs w:val="24"/>
            <w:u w:color="0000FF"/>
          </w:rPr>
          <w:t>@russopar</w:t>
        </w:r>
        <w:r w:rsidR="00C402D0">
          <w:rPr>
            <w:rFonts w:ascii="Times New Roman" w:eastAsia="Times New Roman" w:hAnsi="Times New Roman" w:cs="Times New Roman"/>
            <w:color w:val="000000"/>
            <w:spacing w:val="-1"/>
            <w:szCs w:val="24"/>
            <w:u w:color="0000FF"/>
          </w:rPr>
          <w:t>tn</w:t>
        </w:r>
        <w:r w:rsidR="00C402D0">
          <w:rPr>
            <w:rFonts w:ascii="Times New Roman" w:eastAsia="Times New Roman" w:hAnsi="Times New Roman" w:cs="Times New Roman"/>
            <w:color w:val="000000"/>
            <w:szCs w:val="24"/>
            <w:u w:color="0000FF"/>
          </w:rPr>
          <w:t>ersl</w:t>
        </w:r>
        <w:r w:rsidR="00C402D0">
          <w:rPr>
            <w:rFonts w:ascii="Times New Roman" w:eastAsia="Times New Roman" w:hAnsi="Times New Roman" w:cs="Times New Roman"/>
            <w:color w:val="000000"/>
            <w:spacing w:val="-1"/>
            <w:szCs w:val="24"/>
            <w:u w:color="0000FF"/>
          </w:rPr>
          <w:t>l</w:t>
        </w:r>
        <w:r w:rsidR="00C402D0">
          <w:rPr>
            <w:rFonts w:ascii="Times New Roman" w:eastAsia="Times New Roman" w:hAnsi="Times New Roman" w:cs="Times New Roman"/>
            <w:color w:val="000000"/>
            <w:szCs w:val="24"/>
            <w:u w:color="0000FF"/>
          </w:rPr>
          <w:t>c.com</w:t>
        </w:r>
      </w:hyperlink>
    </w:p>
    <w:p w:rsidR="00B2198E" w:rsidRDefault="004C7D80">
      <w:pPr>
        <w:autoSpaceDE/>
        <w:autoSpaceDN/>
        <w:adjustRightInd/>
        <w:spacing w:after="0" w:line="240" w:lineRule="auto"/>
        <w:ind w:left="100" w:right="-20"/>
        <w:jc w:val="center"/>
        <w:rPr>
          <w:rFonts w:ascii="Times New Roman" w:eastAsia="Times New Roman" w:hAnsi="Times New Roman" w:cs="Times New Roman"/>
          <w:b/>
          <w:sz w:val="20"/>
          <w:szCs w:val="24"/>
        </w:rPr>
      </w:pPr>
    </w:p>
    <w:p w:rsidR="00B2198E" w:rsidRDefault="00C402D0">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B2198E" w:rsidRDefault="004C7D80">
      <w:pPr>
        <w:autoSpaceDE/>
        <w:autoSpaceDN/>
        <w:adjustRightInd/>
        <w:spacing w:after="0" w:line="240" w:lineRule="auto"/>
        <w:ind w:left="100" w:right="-20"/>
        <w:jc w:val="center"/>
        <w:rPr>
          <w:rFonts w:ascii="Times New Roman" w:eastAsia="Times New Roman" w:hAnsi="Times New Roman" w:cs="Times New Roman"/>
          <w:b/>
          <w:sz w:val="16"/>
          <w:szCs w:val="24"/>
        </w:rPr>
      </w:pPr>
    </w:p>
    <w:p w:rsidR="00676F8D" w:rsidRDefault="00C402D0" w:rsidP="00B2198E">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676F8D" w:rsidRDefault="00461F2B" w:rsidP="00847308">
      <w:pPr>
        <w:widowControl/>
        <w:autoSpaceDE/>
        <w:autoSpaceDN/>
        <w:adjustRightInd/>
        <w:spacing w:after="0" w:line="240" w:lineRule="auto"/>
        <w:jc w:val="center"/>
        <w:rPr>
          <w:rFonts w:ascii="Times New Roman" w:eastAsia="Times New Roman" w:hAnsi="Times New Roman" w:cs="Times New Roman"/>
          <w:b/>
          <w:szCs w:val="24"/>
        </w:rPr>
      </w:pPr>
      <w:r w:rsidRPr="00461F2B">
        <w:rPr>
          <w:noProof/>
        </w:rPr>
        <w:lastRenderedPageBreak/>
        <w:drawing>
          <wp:inline distT="0" distB="0" distL="0" distR="0" wp14:anchorId="4669C8CA" wp14:editId="6348D8FA">
            <wp:extent cx="6309360" cy="8466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8466381"/>
                    </a:xfrm>
                    <a:prstGeom prst="rect">
                      <a:avLst/>
                    </a:prstGeom>
                    <a:noFill/>
                    <a:ln>
                      <a:noFill/>
                    </a:ln>
                  </pic:spPr>
                </pic:pic>
              </a:graphicData>
            </a:graphic>
          </wp:inline>
        </w:drawing>
      </w:r>
      <w:r w:rsidR="00C402D0">
        <w:rPr>
          <w:rFonts w:ascii="Times New Roman" w:eastAsia="Times New Roman" w:hAnsi="Times New Roman" w:cs="Times New Roman"/>
          <w:b/>
          <w:szCs w:val="24"/>
        </w:rPr>
        <w:br w:type="page"/>
      </w:r>
    </w:p>
    <w:p w:rsidR="00391E4E" w:rsidRDefault="004C7D80" w:rsidP="00391E4E">
      <w:pPr>
        <w:widowControl/>
        <w:autoSpaceDE/>
        <w:autoSpaceDN/>
        <w:adjustRightInd/>
        <w:spacing w:after="0" w:line="240" w:lineRule="auto"/>
        <w:rPr>
          <w:rFonts w:ascii="Times New Roman" w:eastAsia="Times New Roman" w:hAnsi="Times New Roman" w:cs="Times New Roman"/>
          <w:b/>
        </w:rPr>
        <w:sectPr w:rsidR="00391E4E" w:rsidSect="001F5F86">
          <w:headerReference w:type="even" r:id="rId14"/>
          <w:headerReference w:type="default" r:id="rId15"/>
          <w:footerReference w:type="even" r:id="rId16"/>
          <w:footerReference w:type="default" r:id="rId17"/>
          <w:headerReference w:type="first" r:id="rId18"/>
          <w:footerReference w:type="first" r:id="rId19"/>
          <w:pgSz w:w="12240" w:h="15840"/>
          <w:pgMar w:top="1296" w:right="1152" w:bottom="1008" w:left="1152" w:header="720" w:footer="720" w:gutter="0"/>
          <w:cols w:space="720"/>
          <w:noEndnote/>
          <w:docGrid w:linePitch="299"/>
        </w:sectPr>
      </w:pPr>
    </w:p>
    <w:p w:rsidR="00391E4E" w:rsidRPr="00E642D7" w:rsidRDefault="00C402D0" w:rsidP="00391E4E">
      <w:pPr>
        <w:widowControl/>
        <w:autoSpaceDE/>
        <w:autoSpaceDN/>
        <w:adjustRightInd/>
        <w:spacing w:after="0" w:line="240" w:lineRule="auto"/>
        <w:rPr>
          <w:rFonts w:ascii="Times New Roman" w:eastAsia="Times New Roman" w:hAnsi="Times New Roman" w:cs="Times New Roman"/>
          <w:b/>
        </w:rPr>
      </w:pPr>
      <w:r w:rsidRPr="00E642D7">
        <w:rPr>
          <w:rFonts w:ascii="Times New Roman" w:eastAsia="Times New Roman" w:hAnsi="Times New Roman" w:cs="Times New Roman"/>
          <w:b/>
        </w:rPr>
        <w:lastRenderedPageBreak/>
        <w:t xml:space="preserve">Non-GAAP Financial Measures: </w:t>
      </w:r>
    </w:p>
    <w:p w:rsidR="00391E4E" w:rsidRPr="00E642D7" w:rsidRDefault="004C7D80" w:rsidP="00391E4E">
      <w:pPr>
        <w:widowControl/>
        <w:autoSpaceDE/>
        <w:autoSpaceDN/>
        <w:adjustRightInd/>
        <w:spacing w:after="0" w:line="240" w:lineRule="auto"/>
        <w:rPr>
          <w:rFonts w:ascii="Times New Roman" w:eastAsia="Times New Roman" w:hAnsi="Times New Roman" w:cs="Times New Roman"/>
          <w:b/>
        </w:rPr>
      </w:pPr>
    </w:p>
    <w:p w:rsidR="00391E4E" w:rsidRDefault="00C402D0" w:rsidP="00391E4E">
      <w:pPr>
        <w:widowControl/>
        <w:autoSpaceDE/>
        <w:autoSpaceDN/>
        <w:adjustRightInd/>
        <w:spacing w:after="0" w:line="240" w:lineRule="auto"/>
        <w:jc w:val="both"/>
        <w:rPr>
          <w:rFonts w:ascii="Times New Roman" w:eastAsia="Times New Roman" w:hAnsi="Times New Roman" w:cs="Times New Roman"/>
        </w:rPr>
      </w:pPr>
      <w:r w:rsidRPr="00E642D7">
        <w:rPr>
          <w:rFonts w:ascii="Times New Roman" w:eastAsia="Times New Roman" w:hAnsi="Times New Roman" w:cs="Times New Roman"/>
        </w:rPr>
        <w:t>In addition to our operating results, as calculated in accordance with GAAP, we use certain non</w:t>
      </w:r>
      <w:r w:rsidR="00D11F98">
        <w:rPr>
          <w:rFonts w:ascii="Times New Roman" w:eastAsia="Times New Roman" w:hAnsi="Times New Roman" w:cs="Times New Roman"/>
        </w:rPr>
        <w:t>-</w:t>
      </w:r>
      <w:bookmarkStart w:id="0" w:name="_GoBack"/>
      <w:bookmarkEnd w:id="0"/>
      <w:r w:rsidRPr="00E642D7">
        <w:rPr>
          <w:rFonts w:ascii="Times New Roman" w:eastAsia="Times New Roman" w:hAnsi="Times New Roman" w:cs="Times New Roman"/>
        </w:rPr>
        <w:t>GAAP financial measures when planning, monitoring, and evaluating our operational performance. The following table presents our net loss and net loss per share, as calculated in accordance with GAAP, as adjusted to remove the impact of employee stock-based compensation. These non-GAAP financial measures are not, and should not be viewed as, substitutes for GAAP reporting measures. We believe these non-GAAP measures enhance understanding of our financial performance, are more indicative of our operational performance and facilitate a better comparison among fiscal periods.</w:t>
      </w:r>
    </w:p>
    <w:p w:rsidR="00CC51FB" w:rsidRDefault="004C7D80" w:rsidP="00391E4E">
      <w:pPr>
        <w:widowControl/>
        <w:autoSpaceDE/>
        <w:autoSpaceDN/>
        <w:adjustRightInd/>
        <w:spacing w:after="0" w:line="240" w:lineRule="auto"/>
        <w:jc w:val="both"/>
        <w:rPr>
          <w:rFonts w:ascii="Times New Roman" w:eastAsia="Times New Roman" w:hAnsi="Times New Roman" w:cs="Times New Roman"/>
        </w:rPr>
      </w:pPr>
    </w:p>
    <w:p w:rsidR="00B2198E" w:rsidRDefault="00C402D0" w:rsidP="0007374C">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7A65">
        <w:rPr>
          <w:noProof/>
        </w:rPr>
        <w:drawing>
          <wp:inline distT="0" distB="0" distL="0" distR="0">
            <wp:extent cx="5832208" cy="702100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455" cy="7021300"/>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p>
    <w:sectPr w:rsidR="00B2198E" w:rsidSect="00CC51FB">
      <w:pgSz w:w="12240" w:h="15840"/>
      <w:pgMar w:top="1008" w:right="1152" w:bottom="23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71" w:rsidRDefault="00F41671">
      <w:pPr>
        <w:spacing w:after="0" w:line="240" w:lineRule="auto"/>
      </w:pPr>
      <w:r>
        <w:separator/>
      </w:r>
    </w:p>
  </w:endnote>
  <w:endnote w:type="continuationSeparator" w:id="0">
    <w:p w:rsidR="00F41671" w:rsidRDefault="00F4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DD" w:rsidRDefault="004C7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6" w:rsidRDefault="004C7D80">
    <w:pPr>
      <w:autoSpaceDE/>
      <w:autoSpaceDN/>
      <w:adjustRightInd/>
      <w:rPr>
        <w:rFonts w:eastAsia="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6" w:rsidRDefault="00C402D0">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71" w:rsidRDefault="00F41671">
      <w:pPr>
        <w:spacing w:after="0" w:line="240" w:lineRule="auto"/>
      </w:pPr>
      <w:r>
        <w:separator/>
      </w:r>
    </w:p>
  </w:footnote>
  <w:footnote w:type="continuationSeparator" w:id="0">
    <w:p w:rsidR="00F41671" w:rsidRDefault="00F41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DD" w:rsidRDefault="004C7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6" w:rsidRDefault="00C402D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6" w:rsidRDefault="00C402D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13169E26">
      <w:start w:val="1"/>
      <w:numFmt w:val="bullet"/>
      <w:lvlText w:val="•"/>
      <w:lvlJc w:val="left"/>
      <w:pPr>
        <w:tabs>
          <w:tab w:val="left" w:pos="720"/>
        </w:tabs>
        <w:ind w:left="720" w:hanging="360"/>
      </w:pPr>
      <w:rPr>
        <w:rFonts w:ascii="Arial" w:hAnsi="Arial"/>
        <w:strike w:val="0"/>
        <w:dstrike w:val="0"/>
      </w:rPr>
    </w:lvl>
    <w:lvl w:ilvl="1" w:tplc="B0DC6CDA">
      <w:start w:val="1"/>
      <w:numFmt w:val="bullet"/>
      <w:lvlText w:val="•"/>
      <w:lvlJc w:val="left"/>
      <w:pPr>
        <w:tabs>
          <w:tab w:val="left" w:pos="1440"/>
        </w:tabs>
        <w:ind w:left="1440" w:hanging="360"/>
      </w:pPr>
      <w:rPr>
        <w:rFonts w:ascii="Arial" w:hAnsi="Arial"/>
        <w:strike w:val="0"/>
        <w:dstrike w:val="0"/>
      </w:rPr>
    </w:lvl>
    <w:lvl w:ilvl="2" w:tplc="87621B90">
      <w:start w:val="1"/>
      <w:numFmt w:val="bullet"/>
      <w:lvlText w:val="•"/>
      <w:lvlJc w:val="left"/>
      <w:pPr>
        <w:tabs>
          <w:tab w:val="left" w:pos="2160"/>
        </w:tabs>
        <w:ind w:left="2160" w:hanging="360"/>
      </w:pPr>
      <w:rPr>
        <w:rFonts w:ascii="Arial" w:hAnsi="Arial"/>
        <w:strike w:val="0"/>
        <w:dstrike w:val="0"/>
      </w:rPr>
    </w:lvl>
    <w:lvl w:ilvl="3" w:tplc="A1B891F2">
      <w:start w:val="1"/>
      <w:numFmt w:val="bullet"/>
      <w:lvlText w:val="•"/>
      <w:lvlJc w:val="left"/>
      <w:pPr>
        <w:tabs>
          <w:tab w:val="left" w:pos="2880"/>
        </w:tabs>
        <w:ind w:left="2880" w:hanging="360"/>
      </w:pPr>
      <w:rPr>
        <w:rFonts w:ascii="Arial" w:hAnsi="Arial"/>
        <w:strike w:val="0"/>
        <w:dstrike w:val="0"/>
      </w:rPr>
    </w:lvl>
    <w:lvl w:ilvl="4" w:tplc="5A6C6BA4">
      <w:start w:val="1"/>
      <w:numFmt w:val="bullet"/>
      <w:lvlText w:val="•"/>
      <w:lvlJc w:val="left"/>
      <w:pPr>
        <w:tabs>
          <w:tab w:val="left" w:pos="3600"/>
        </w:tabs>
        <w:ind w:left="3600" w:hanging="360"/>
      </w:pPr>
      <w:rPr>
        <w:rFonts w:ascii="Arial" w:hAnsi="Arial"/>
        <w:strike w:val="0"/>
        <w:dstrike w:val="0"/>
      </w:rPr>
    </w:lvl>
    <w:lvl w:ilvl="5" w:tplc="EF08BDA2">
      <w:start w:val="1"/>
      <w:numFmt w:val="bullet"/>
      <w:lvlText w:val="•"/>
      <w:lvlJc w:val="left"/>
      <w:pPr>
        <w:tabs>
          <w:tab w:val="left" w:pos="4320"/>
        </w:tabs>
        <w:ind w:left="4320" w:hanging="360"/>
      </w:pPr>
      <w:rPr>
        <w:rFonts w:ascii="Arial" w:hAnsi="Arial"/>
        <w:strike w:val="0"/>
        <w:dstrike w:val="0"/>
      </w:rPr>
    </w:lvl>
    <w:lvl w:ilvl="6" w:tplc="7B0846C6">
      <w:start w:val="1"/>
      <w:numFmt w:val="bullet"/>
      <w:lvlText w:val="•"/>
      <w:lvlJc w:val="left"/>
      <w:pPr>
        <w:tabs>
          <w:tab w:val="left" w:pos="5040"/>
        </w:tabs>
        <w:ind w:left="5040" w:hanging="360"/>
      </w:pPr>
      <w:rPr>
        <w:rFonts w:ascii="Arial" w:hAnsi="Arial"/>
        <w:strike w:val="0"/>
        <w:dstrike w:val="0"/>
      </w:rPr>
    </w:lvl>
    <w:lvl w:ilvl="7" w:tplc="ADC273C6">
      <w:start w:val="1"/>
      <w:numFmt w:val="bullet"/>
      <w:lvlText w:val="•"/>
      <w:lvlJc w:val="left"/>
      <w:pPr>
        <w:tabs>
          <w:tab w:val="left" w:pos="5760"/>
        </w:tabs>
        <w:ind w:left="5760" w:hanging="360"/>
      </w:pPr>
      <w:rPr>
        <w:rFonts w:ascii="Arial" w:hAnsi="Arial"/>
        <w:strike w:val="0"/>
        <w:dstrike w:val="0"/>
      </w:rPr>
    </w:lvl>
    <w:lvl w:ilvl="8" w:tplc="CF3A9B30">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BEB8245A">
      <w:start w:val="1"/>
      <w:numFmt w:val="bullet"/>
      <w:lvlText w:val=""/>
      <w:lvlJc w:val="left"/>
      <w:pPr>
        <w:ind w:left="720" w:hanging="360"/>
      </w:pPr>
      <w:rPr>
        <w:rFonts w:ascii="Symbol" w:hAnsi="Symbol" w:hint="default"/>
      </w:rPr>
    </w:lvl>
    <w:lvl w:ilvl="1" w:tplc="F1782DB6" w:tentative="1">
      <w:start w:val="1"/>
      <w:numFmt w:val="lowerLetter"/>
      <w:lvlText w:val="%2."/>
      <w:lvlJc w:val="left"/>
      <w:pPr>
        <w:ind w:left="1440" w:hanging="360"/>
      </w:pPr>
    </w:lvl>
    <w:lvl w:ilvl="2" w:tplc="E6CA524C" w:tentative="1">
      <w:start w:val="1"/>
      <w:numFmt w:val="lowerRoman"/>
      <w:lvlText w:val="%3."/>
      <w:lvlJc w:val="right"/>
      <w:pPr>
        <w:ind w:left="2160" w:hanging="180"/>
      </w:pPr>
    </w:lvl>
    <w:lvl w:ilvl="3" w:tplc="871A931E" w:tentative="1">
      <w:start w:val="1"/>
      <w:numFmt w:val="decimal"/>
      <w:lvlText w:val="%4."/>
      <w:lvlJc w:val="left"/>
      <w:pPr>
        <w:ind w:left="2880" w:hanging="360"/>
      </w:pPr>
    </w:lvl>
    <w:lvl w:ilvl="4" w:tplc="884C332C" w:tentative="1">
      <w:start w:val="1"/>
      <w:numFmt w:val="lowerLetter"/>
      <w:lvlText w:val="%5."/>
      <w:lvlJc w:val="left"/>
      <w:pPr>
        <w:ind w:left="3600" w:hanging="360"/>
      </w:pPr>
    </w:lvl>
    <w:lvl w:ilvl="5" w:tplc="7BAE3902" w:tentative="1">
      <w:start w:val="1"/>
      <w:numFmt w:val="lowerRoman"/>
      <w:lvlText w:val="%6."/>
      <w:lvlJc w:val="right"/>
      <w:pPr>
        <w:ind w:left="4320" w:hanging="180"/>
      </w:pPr>
    </w:lvl>
    <w:lvl w:ilvl="6" w:tplc="4A4A4A3E" w:tentative="1">
      <w:start w:val="1"/>
      <w:numFmt w:val="decimal"/>
      <w:lvlText w:val="%7."/>
      <w:lvlJc w:val="left"/>
      <w:pPr>
        <w:ind w:left="5040" w:hanging="360"/>
      </w:pPr>
    </w:lvl>
    <w:lvl w:ilvl="7" w:tplc="9A10ED44" w:tentative="1">
      <w:start w:val="1"/>
      <w:numFmt w:val="lowerLetter"/>
      <w:lvlText w:val="%8."/>
      <w:lvlJc w:val="left"/>
      <w:pPr>
        <w:ind w:left="5760" w:hanging="360"/>
      </w:pPr>
    </w:lvl>
    <w:lvl w:ilvl="8" w:tplc="0A48BD18"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11"/>
    <w:rsid w:val="000C3311"/>
    <w:rsid w:val="000C41AB"/>
    <w:rsid w:val="00461F2B"/>
    <w:rsid w:val="004C7D80"/>
    <w:rsid w:val="00522686"/>
    <w:rsid w:val="005D6801"/>
    <w:rsid w:val="00776AC4"/>
    <w:rsid w:val="00912CAD"/>
    <w:rsid w:val="00933C1D"/>
    <w:rsid w:val="009C11E7"/>
    <w:rsid w:val="00C015C8"/>
    <w:rsid w:val="00C402D0"/>
    <w:rsid w:val="00CA568A"/>
    <w:rsid w:val="00D11F98"/>
    <w:rsid w:val="00DB651E"/>
    <w:rsid w:val="00E30E73"/>
    <w:rsid w:val="00F4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746"/>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74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pumabiotechnolog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2015-11-06T19:15:00Z</dcterms:created>
  <dcterms:modified xsi:type="dcterms:W3CDTF">2015-11-09T18:21:00Z</dcterms:modified>
</cp:coreProperties>
</file>