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98E" w:rsidRPr="00E20E4E" w:rsidRDefault="00131273">
      <w:pPr>
        <w:autoSpaceDE/>
        <w:autoSpaceDN/>
        <w:adjustRightInd/>
        <w:spacing w:before="99" w:after="0" w:line="240" w:lineRule="auto"/>
        <w:ind w:right="-20"/>
        <w:rPr>
          <w:rFonts w:ascii="Times New Roman" w:eastAsia="Times New Roman" w:hAnsi="Times New Roman" w:cs="Times New Roman"/>
          <w:b/>
          <w:sz w:val="28"/>
          <w:szCs w:val="28"/>
        </w:rPr>
      </w:pPr>
      <w:bookmarkStart w:id="0" w:name="_GoBack"/>
      <w:bookmarkEnd w:id="0"/>
      <w:r>
        <w:rPr>
          <w:rFonts w:ascii="Times New Roman" w:eastAsia="Times New Roman" w:hAnsi="Times New Roman" w:cs="Times New Roman"/>
          <w:noProof/>
          <w:sz w:val="24"/>
          <w:szCs w:val="24"/>
        </w:rPr>
        <w:drawing>
          <wp:inline distT="0" distB="0" distL="0" distR="0">
            <wp:extent cx="1447800" cy="5048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8800147"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447800" cy="504825"/>
                    </a:xfrm>
                    <a:prstGeom prst="rect">
                      <a:avLst/>
                    </a:prstGeom>
                    <a:noFill/>
                    <a:ln>
                      <a:noFill/>
                    </a:ln>
                  </pic:spPr>
                </pic:pic>
              </a:graphicData>
            </a:graphic>
          </wp:inline>
        </w:drawing>
      </w:r>
      <w:r>
        <w:rPr>
          <w:rFonts w:ascii="Times New Roman" w:eastAsia="Times New Roman" w:hAnsi="Times New Roman" w:cs="Times New Roman"/>
          <w:sz w:val="20"/>
          <w:szCs w:val="24"/>
        </w:rPr>
        <w:tab/>
      </w:r>
      <w:r>
        <w:rPr>
          <w:rFonts w:ascii="Times New Roman" w:eastAsia="Times New Roman" w:hAnsi="Times New Roman" w:cs="Times New Roman"/>
          <w:sz w:val="20"/>
          <w:szCs w:val="24"/>
        </w:rPr>
        <w:tab/>
      </w:r>
      <w:r>
        <w:rPr>
          <w:rFonts w:ascii="Times New Roman" w:eastAsia="Times New Roman" w:hAnsi="Times New Roman" w:cs="Times New Roman"/>
          <w:sz w:val="20"/>
          <w:szCs w:val="24"/>
        </w:rPr>
        <w:tab/>
      </w:r>
      <w:r>
        <w:rPr>
          <w:rFonts w:ascii="Times New Roman" w:eastAsia="Times New Roman" w:hAnsi="Times New Roman" w:cs="Times New Roman"/>
          <w:sz w:val="20"/>
          <w:szCs w:val="24"/>
        </w:rPr>
        <w:tab/>
      </w:r>
      <w:r>
        <w:rPr>
          <w:rFonts w:ascii="Times New Roman" w:eastAsia="Times New Roman" w:hAnsi="Times New Roman" w:cs="Times New Roman"/>
          <w:sz w:val="20"/>
          <w:szCs w:val="24"/>
        </w:rPr>
        <w:tab/>
      </w:r>
      <w:r>
        <w:rPr>
          <w:rFonts w:ascii="Times New Roman" w:eastAsia="Times New Roman" w:hAnsi="Times New Roman" w:cs="Times New Roman"/>
          <w:sz w:val="20"/>
          <w:szCs w:val="24"/>
        </w:rPr>
        <w:tab/>
      </w:r>
      <w:r>
        <w:rPr>
          <w:rFonts w:ascii="Times New Roman" w:eastAsia="Times New Roman" w:hAnsi="Times New Roman" w:cs="Times New Roman"/>
          <w:sz w:val="20"/>
          <w:szCs w:val="24"/>
        </w:rPr>
        <w:tab/>
      </w:r>
      <w:r>
        <w:rPr>
          <w:rFonts w:ascii="Times New Roman" w:eastAsia="Times New Roman" w:hAnsi="Times New Roman" w:cs="Times New Roman"/>
          <w:sz w:val="20"/>
          <w:szCs w:val="24"/>
        </w:rPr>
        <w:tab/>
      </w:r>
    </w:p>
    <w:p w:rsidR="00B2198E" w:rsidRDefault="00F376BA">
      <w:pPr>
        <w:autoSpaceDE/>
        <w:autoSpaceDN/>
        <w:adjustRightInd/>
        <w:spacing w:before="4" w:after="0" w:line="170" w:lineRule="exact"/>
        <w:rPr>
          <w:rFonts w:eastAsia="Times New Roman" w:cs="Times New Roman"/>
          <w:sz w:val="17"/>
          <w:szCs w:val="24"/>
        </w:rPr>
      </w:pPr>
    </w:p>
    <w:p w:rsidR="00B2198E" w:rsidRPr="00714C36" w:rsidRDefault="00131273" w:rsidP="00B2198E">
      <w:pPr>
        <w:autoSpaceDE/>
        <w:autoSpaceDN/>
        <w:adjustRightInd/>
        <w:spacing w:after="0" w:line="240" w:lineRule="auto"/>
        <w:ind w:right="1152"/>
        <w:rPr>
          <w:rFonts w:ascii="Times New Roman" w:eastAsia="Times New Roman" w:hAnsi="Times New Roman" w:cs="Times New Roman"/>
          <w:sz w:val="28"/>
          <w:szCs w:val="28"/>
        </w:rPr>
      </w:pPr>
      <w:r>
        <w:rPr>
          <w:rFonts w:ascii="Times New Roman" w:eastAsia="Times New Roman" w:hAnsi="Times New Roman" w:cs="Times New Roman"/>
          <w:b/>
          <w:sz w:val="36"/>
          <w:szCs w:val="24"/>
        </w:rPr>
        <w:t>News Rel</w:t>
      </w:r>
      <w:r>
        <w:rPr>
          <w:rFonts w:ascii="Times New Roman" w:eastAsia="Times New Roman" w:hAnsi="Times New Roman" w:cs="Times New Roman"/>
          <w:b/>
          <w:spacing w:val="-2"/>
          <w:sz w:val="36"/>
          <w:szCs w:val="24"/>
        </w:rPr>
        <w:t>e</w:t>
      </w:r>
      <w:r>
        <w:rPr>
          <w:rFonts w:ascii="Times New Roman" w:eastAsia="Times New Roman" w:hAnsi="Times New Roman" w:cs="Times New Roman"/>
          <w:b/>
          <w:sz w:val="36"/>
          <w:szCs w:val="24"/>
        </w:rPr>
        <w:t>ase</w:t>
      </w:r>
      <w:r>
        <w:rPr>
          <w:rFonts w:ascii="Times New Roman" w:eastAsia="Times New Roman" w:hAnsi="Times New Roman" w:cs="Times New Roman"/>
          <w:b/>
          <w:sz w:val="36"/>
          <w:szCs w:val="24"/>
        </w:rPr>
        <w:tab/>
      </w:r>
      <w:r>
        <w:rPr>
          <w:rFonts w:ascii="Times New Roman" w:eastAsia="Times New Roman" w:hAnsi="Times New Roman" w:cs="Times New Roman"/>
          <w:b/>
          <w:sz w:val="36"/>
          <w:szCs w:val="24"/>
        </w:rPr>
        <w:tab/>
      </w:r>
      <w:r>
        <w:rPr>
          <w:rFonts w:ascii="Times New Roman" w:eastAsia="Times New Roman" w:hAnsi="Times New Roman" w:cs="Times New Roman"/>
          <w:b/>
          <w:sz w:val="36"/>
          <w:szCs w:val="24"/>
        </w:rPr>
        <w:tab/>
      </w:r>
      <w:r>
        <w:rPr>
          <w:rFonts w:ascii="Times New Roman" w:eastAsia="Times New Roman" w:hAnsi="Times New Roman" w:cs="Times New Roman"/>
          <w:b/>
          <w:sz w:val="36"/>
          <w:szCs w:val="24"/>
        </w:rPr>
        <w:tab/>
      </w:r>
      <w:r>
        <w:rPr>
          <w:rFonts w:ascii="Times New Roman" w:eastAsia="Times New Roman" w:hAnsi="Times New Roman" w:cs="Times New Roman"/>
          <w:b/>
          <w:sz w:val="36"/>
          <w:szCs w:val="24"/>
        </w:rPr>
        <w:tab/>
      </w:r>
      <w:r>
        <w:rPr>
          <w:rFonts w:ascii="Times New Roman" w:eastAsia="Times New Roman" w:hAnsi="Times New Roman" w:cs="Times New Roman"/>
          <w:b/>
          <w:sz w:val="36"/>
          <w:szCs w:val="24"/>
        </w:rPr>
        <w:tab/>
      </w:r>
    </w:p>
    <w:p w:rsidR="00B2198E" w:rsidRDefault="00F376BA">
      <w:pPr>
        <w:autoSpaceDE/>
        <w:autoSpaceDN/>
        <w:adjustRightInd/>
        <w:spacing w:after="0" w:line="140" w:lineRule="exact"/>
        <w:rPr>
          <w:rFonts w:eastAsia="Times New Roman" w:cs="Times New Roman"/>
          <w:sz w:val="14"/>
          <w:szCs w:val="24"/>
        </w:rPr>
      </w:pPr>
    </w:p>
    <w:p w:rsidR="00B2198E" w:rsidRDefault="00F376BA">
      <w:pPr>
        <w:autoSpaceDE/>
        <w:autoSpaceDN/>
        <w:adjustRightInd/>
        <w:spacing w:after="0" w:line="200" w:lineRule="exact"/>
        <w:rPr>
          <w:rFonts w:eastAsia="Times New Roman" w:cs="Times New Roman"/>
          <w:sz w:val="28"/>
          <w:szCs w:val="24"/>
        </w:rPr>
      </w:pPr>
    </w:p>
    <w:p w:rsidR="00654915" w:rsidRDefault="00131273" w:rsidP="00654915">
      <w:pPr>
        <w:autoSpaceDE/>
        <w:autoSpaceDN/>
        <w:adjustRightInd/>
        <w:spacing w:before="120" w:after="60" w:line="200" w:lineRule="exact"/>
        <w:jc w:val="center"/>
        <w:rPr>
          <w:rFonts w:ascii="Times New Roman" w:eastAsia="Times New Roman" w:hAnsi="Times New Roman" w:cs="Times New Roman"/>
          <w:b/>
          <w:sz w:val="28"/>
          <w:szCs w:val="24"/>
        </w:rPr>
      </w:pPr>
      <w:r>
        <w:rPr>
          <w:rFonts w:ascii="Times New Roman" w:eastAsia="Times New Roman" w:hAnsi="Times New Roman" w:cs="Times New Roman"/>
          <w:b/>
          <w:sz w:val="28"/>
          <w:szCs w:val="24"/>
        </w:rPr>
        <w:t>Puma Biotechnology Reports Fourth Quarter and Full Year 2016</w:t>
      </w:r>
    </w:p>
    <w:p w:rsidR="00324513" w:rsidRDefault="00131273" w:rsidP="00654915">
      <w:pPr>
        <w:autoSpaceDE/>
        <w:autoSpaceDN/>
        <w:adjustRightInd/>
        <w:spacing w:before="120" w:after="60" w:line="200" w:lineRule="exact"/>
        <w:jc w:val="center"/>
        <w:rPr>
          <w:rFonts w:ascii="Times New Roman" w:eastAsia="Times New Roman" w:hAnsi="Times New Roman" w:cs="Times New Roman"/>
          <w:b/>
          <w:sz w:val="28"/>
          <w:szCs w:val="24"/>
        </w:rPr>
      </w:pPr>
      <w:r>
        <w:rPr>
          <w:rFonts w:ascii="Times New Roman" w:eastAsia="Times New Roman" w:hAnsi="Times New Roman" w:cs="Times New Roman"/>
          <w:b/>
          <w:sz w:val="28"/>
          <w:szCs w:val="24"/>
        </w:rPr>
        <w:t xml:space="preserve"> Financial Results </w:t>
      </w:r>
    </w:p>
    <w:p w:rsidR="00324513" w:rsidRDefault="00F376BA" w:rsidP="00B2198E">
      <w:pPr>
        <w:autoSpaceDE/>
        <w:autoSpaceDN/>
        <w:adjustRightInd/>
        <w:spacing w:after="0" w:line="230" w:lineRule="auto"/>
        <w:ind w:right="53"/>
        <w:jc w:val="both"/>
        <w:rPr>
          <w:rFonts w:ascii="Times New Roman" w:eastAsia="Times New Roman" w:hAnsi="Times New Roman" w:cs="Times New Roman"/>
          <w:b/>
        </w:rPr>
      </w:pPr>
    </w:p>
    <w:p w:rsidR="00B2198E" w:rsidRPr="00245C76" w:rsidRDefault="00131273" w:rsidP="00B2198E">
      <w:pPr>
        <w:autoSpaceDE/>
        <w:autoSpaceDN/>
        <w:adjustRightInd/>
        <w:spacing w:after="0" w:line="230" w:lineRule="auto"/>
        <w:ind w:right="53"/>
        <w:jc w:val="both"/>
        <w:rPr>
          <w:rFonts w:ascii="Times New Roman" w:eastAsia="Times New Roman" w:hAnsi="Times New Roman" w:cs="Times New Roman"/>
          <w:lang w:val="en-GB"/>
        </w:rPr>
      </w:pPr>
      <w:r w:rsidRPr="00245C76">
        <w:rPr>
          <w:rFonts w:ascii="Times New Roman" w:eastAsia="Times New Roman" w:hAnsi="Times New Roman" w:cs="Times New Roman"/>
          <w:b/>
        </w:rPr>
        <w:t>LOS</w:t>
      </w:r>
      <w:r w:rsidRPr="00245C76">
        <w:rPr>
          <w:rFonts w:ascii="Times New Roman" w:eastAsia="Times New Roman" w:hAnsi="Times New Roman" w:cs="Times New Roman"/>
          <w:b/>
          <w:spacing w:val="1"/>
        </w:rPr>
        <w:t xml:space="preserve"> </w:t>
      </w:r>
      <w:r w:rsidRPr="00245C76">
        <w:rPr>
          <w:rFonts w:ascii="Times New Roman" w:eastAsia="Times New Roman" w:hAnsi="Times New Roman" w:cs="Times New Roman"/>
          <w:b/>
        </w:rPr>
        <w:t>A</w:t>
      </w:r>
      <w:r w:rsidRPr="00245C76">
        <w:rPr>
          <w:rFonts w:ascii="Times New Roman" w:eastAsia="Times New Roman" w:hAnsi="Times New Roman" w:cs="Times New Roman"/>
          <w:b/>
          <w:spacing w:val="-1"/>
        </w:rPr>
        <w:t>N</w:t>
      </w:r>
      <w:r w:rsidRPr="00245C76">
        <w:rPr>
          <w:rFonts w:ascii="Times New Roman" w:eastAsia="Times New Roman" w:hAnsi="Times New Roman" w:cs="Times New Roman"/>
          <w:b/>
        </w:rPr>
        <w:t>GEL</w:t>
      </w:r>
      <w:r w:rsidRPr="00245C76">
        <w:rPr>
          <w:rFonts w:ascii="Times New Roman" w:eastAsia="Times New Roman" w:hAnsi="Times New Roman" w:cs="Times New Roman"/>
          <w:b/>
          <w:spacing w:val="-1"/>
        </w:rPr>
        <w:t>E</w:t>
      </w:r>
      <w:r w:rsidRPr="00245C76">
        <w:rPr>
          <w:rFonts w:ascii="Times New Roman" w:eastAsia="Times New Roman" w:hAnsi="Times New Roman" w:cs="Times New Roman"/>
          <w:b/>
        </w:rPr>
        <w:t>S,</w:t>
      </w:r>
      <w:r w:rsidRPr="00245C76">
        <w:rPr>
          <w:rFonts w:ascii="Times New Roman" w:eastAsia="Times New Roman" w:hAnsi="Times New Roman" w:cs="Times New Roman"/>
          <w:b/>
          <w:spacing w:val="2"/>
        </w:rPr>
        <w:t xml:space="preserve"> </w:t>
      </w:r>
      <w:r>
        <w:rPr>
          <w:rFonts w:ascii="Times New Roman" w:eastAsia="Times New Roman" w:hAnsi="Times New Roman" w:cs="Times New Roman"/>
          <w:b/>
          <w:spacing w:val="2"/>
        </w:rPr>
        <w:t xml:space="preserve">Calif., </w:t>
      </w:r>
      <w:r w:rsidRPr="00ED6926">
        <w:rPr>
          <w:rFonts w:ascii="Times New Roman" w:eastAsia="Times New Roman" w:hAnsi="Times New Roman" w:cs="Times New Roman"/>
          <w:b/>
        </w:rPr>
        <w:t>March 1, 2017</w:t>
      </w:r>
      <w:r w:rsidRPr="00245C76">
        <w:rPr>
          <w:rFonts w:ascii="Times New Roman" w:eastAsia="Times New Roman" w:hAnsi="Times New Roman" w:cs="Times New Roman"/>
          <w:b/>
          <w:spacing w:val="1"/>
        </w:rPr>
        <w:t xml:space="preserve"> </w:t>
      </w:r>
      <w:r w:rsidRPr="00245C76">
        <w:rPr>
          <w:rFonts w:ascii="Symbol" w:eastAsia="Symbol" w:hAnsi="Symbol" w:cs="Times New Roman"/>
          <w:sz w:val="24"/>
          <w:szCs w:val="24"/>
        </w:rPr>
        <w:sym w:font="Symbol" w:char="F02D"/>
      </w:r>
      <w:r w:rsidRPr="00245C76">
        <w:rPr>
          <w:rFonts w:ascii="Times New Roman" w:eastAsia="Times New Roman" w:hAnsi="Times New Roman" w:cs="Times New Roman"/>
        </w:rPr>
        <w:t xml:space="preserve"> Pu</w:t>
      </w:r>
      <w:r w:rsidRPr="00245C76">
        <w:rPr>
          <w:rFonts w:ascii="Times New Roman" w:eastAsia="Times New Roman" w:hAnsi="Times New Roman" w:cs="Times New Roman"/>
          <w:spacing w:val="-2"/>
        </w:rPr>
        <w:t>m</w:t>
      </w:r>
      <w:r w:rsidRPr="00245C76">
        <w:rPr>
          <w:rFonts w:ascii="Times New Roman" w:eastAsia="Times New Roman" w:hAnsi="Times New Roman" w:cs="Times New Roman"/>
        </w:rPr>
        <w:t>a</w:t>
      </w:r>
      <w:r w:rsidRPr="00245C76">
        <w:rPr>
          <w:rFonts w:ascii="Times New Roman" w:eastAsia="Times New Roman" w:hAnsi="Times New Roman" w:cs="Times New Roman"/>
          <w:spacing w:val="1"/>
        </w:rPr>
        <w:t xml:space="preserve"> </w:t>
      </w:r>
      <w:r w:rsidRPr="00245C76">
        <w:rPr>
          <w:rFonts w:ascii="Times New Roman" w:eastAsia="Times New Roman" w:hAnsi="Times New Roman" w:cs="Times New Roman"/>
        </w:rPr>
        <w:t>Biotechnology,</w:t>
      </w:r>
      <w:r w:rsidRPr="00245C76">
        <w:rPr>
          <w:rFonts w:ascii="Times New Roman" w:eastAsia="Times New Roman" w:hAnsi="Times New Roman" w:cs="Times New Roman"/>
          <w:spacing w:val="1"/>
        </w:rPr>
        <w:t xml:space="preserve"> </w:t>
      </w:r>
      <w:r w:rsidRPr="00245C76">
        <w:rPr>
          <w:rFonts w:ascii="Times New Roman" w:eastAsia="Times New Roman" w:hAnsi="Times New Roman" w:cs="Times New Roman"/>
        </w:rPr>
        <w:t>Inc</w:t>
      </w:r>
      <w:r w:rsidRPr="00245C76">
        <w:rPr>
          <w:rFonts w:ascii="Times New Roman" w:eastAsia="Times New Roman" w:hAnsi="Times New Roman" w:cs="Times New Roman"/>
          <w:spacing w:val="-1"/>
        </w:rPr>
        <w:t>. (</w:t>
      </w:r>
      <w:r w:rsidRPr="00DF2135">
        <w:rPr>
          <w:rFonts w:ascii="Times New Roman" w:eastAsia="Times New Roman" w:hAnsi="Times New Roman" w:cs="Times New Roman"/>
          <w:spacing w:val="-1"/>
        </w:rPr>
        <w:t xml:space="preserve">NASDAQ: </w:t>
      </w:r>
      <w:r w:rsidRPr="00245C76">
        <w:rPr>
          <w:rFonts w:ascii="Times New Roman" w:eastAsia="Times New Roman" w:hAnsi="Times New Roman" w:cs="Times New Roman"/>
          <w:spacing w:val="-1"/>
        </w:rPr>
        <w:t>PBYI)</w:t>
      </w:r>
      <w:r w:rsidRPr="00245C76">
        <w:rPr>
          <w:rFonts w:ascii="Times New Roman" w:eastAsia="Times New Roman" w:hAnsi="Times New Roman" w:cs="Times New Roman"/>
        </w:rPr>
        <w:t>,</w:t>
      </w:r>
      <w:r w:rsidRPr="00245C76">
        <w:rPr>
          <w:rFonts w:ascii="Times New Roman" w:eastAsia="Times New Roman" w:hAnsi="Times New Roman" w:cs="Times New Roman"/>
          <w:spacing w:val="1"/>
        </w:rPr>
        <w:t xml:space="preserve"> </w:t>
      </w:r>
      <w:r w:rsidRPr="00245C76">
        <w:rPr>
          <w:rFonts w:ascii="Times New Roman" w:eastAsia="Times New Roman" w:hAnsi="Times New Roman" w:cs="Times New Roman"/>
        </w:rPr>
        <w:t>a</w:t>
      </w:r>
      <w:r w:rsidRPr="00245C76">
        <w:rPr>
          <w:rFonts w:ascii="Times New Roman" w:eastAsia="Times New Roman" w:hAnsi="Times New Roman" w:cs="Times New Roman"/>
          <w:spacing w:val="3"/>
        </w:rPr>
        <w:t xml:space="preserve"> </w:t>
      </w:r>
      <w:r w:rsidRPr="00245C76">
        <w:rPr>
          <w:rFonts w:ascii="Times New Roman" w:eastAsia="Times New Roman" w:hAnsi="Times New Roman" w:cs="Times New Roman"/>
        </w:rPr>
        <w:t>biophar</w:t>
      </w:r>
      <w:r w:rsidRPr="00245C76">
        <w:rPr>
          <w:rFonts w:ascii="Times New Roman" w:eastAsia="Times New Roman" w:hAnsi="Times New Roman" w:cs="Times New Roman"/>
          <w:spacing w:val="-1"/>
        </w:rPr>
        <w:t>m</w:t>
      </w:r>
      <w:r w:rsidRPr="00245C76">
        <w:rPr>
          <w:rFonts w:ascii="Times New Roman" w:eastAsia="Times New Roman" w:hAnsi="Times New Roman" w:cs="Times New Roman"/>
        </w:rPr>
        <w:t>aceut</w:t>
      </w:r>
      <w:r w:rsidRPr="00245C76">
        <w:rPr>
          <w:rFonts w:ascii="Times New Roman" w:eastAsia="Times New Roman" w:hAnsi="Times New Roman" w:cs="Times New Roman"/>
          <w:spacing w:val="1"/>
        </w:rPr>
        <w:t>i</w:t>
      </w:r>
      <w:r w:rsidRPr="00245C76">
        <w:rPr>
          <w:rFonts w:ascii="Times New Roman" w:eastAsia="Times New Roman" w:hAnsi="Times New Roman" w:cs="Times New Roman"/>
          <w:spacing w:val="-1"/>
        </w:rPr>
        <w:t>c</w:t>
      </w:r>
      <w:r w:rsidRPr="00245C76">
        <w:rPr>
          <w:rFonts w:ascii="Times New Roman" w:eastAsia="Times New Roman" w:hAnsi="Times New Roman" w:cs="Times New Roman"/>
        </w:rPr>
        <w:t>al</w:t>
      </w:r>
      <w:r w:rsidRPr="00245C76">
        <w:rPr>
          <w:rFonts w:ascii="Times New Roman" w:eastAsia="Times New Roman" w:hAnsi="Times New Roman" w:cs="Times New Roman"/>
          <w:spacing w:val="1"/>
        </w:rPr>
        <w:t xml:space="preserve"> </w:t>
      </w:r>
      <w:r w:rsidRPr="00245C76">
        <w:rPr>
          <w:rFonts w:ascii="Times New Roman" w:eastAsia="Times New Roman" w:hAnsi="Times New Roman" w:cs="Times New Roman"/>
        </w:rPr>
        <w:t xml:space="preserve">company, </w:t>
      </w:r>
      <w:r w:rsidRPr="00245C76">
        <w:rPr>
          <w:rFonts w:ascii="Times New Roman" w:eastAsia="Times New Roman" w:hAnsi="Times New Roman" w:cs="Times New Roman"/>
          <w:lang w:val="en-GB"/>
        </w:rPr>
        <w:t>announced</w:t>
      </w:r>
      <w:r>
        <w:rPr>
          <w:rFonts w:ascii="Times New Roman" w:eastAsia="Times New Roman" w:hAnsi="Times New Roman" w:cs="Times New Roman"/>
          <w:lang w:val="en-GB"/>
        </w:rPr>
        <w:t xml:space="preserve"> financial results for the fourth</w:t>
      </w:r>
      <w:r w:rsidRPr="00245C76">
        <w:rPr>
          <w:rFonts w:ascii="Times New Roman" w:eastAsia="Times New Roman" w:hAnsi="Times New Roman" w:cs="Times New Roman"/>
          <w:lang w:val="en-GB"/>
        </w:rPr>
        <w:t xml:space="preserve"> quarter </w:t>
      </w:r>
      <w:r>
        <w:rPr>
          <w:rFonts w:ascii="Times New Roman" w:eastAsia="Times New Roman" w:hAnsi="Times New Roman" w:cs="Times New Roman"/>
          <w:lang w:val="en-GB"/>
        </w:rPr>
        <w:t xml:space="preserve">and year </w:t>
      </w:r>
      <w:r w:rsidRPr="00245C76">
        <w:rPr>
          <w:rFonts w:ascii="Times New Roman" w:eastAsia="Times New Roman" w:hAnsi="Times New Roman" w:cs="Times New Roman"/>
          <w:lang w:val="en-GB"/>
        </w:rPr>
        <w:t xml:space="preserve">ended </w:t>
      </w:r>
      <w:r>
        <w:rPr>
          <w:rFonts w:ascii="Times New Roman" w:eastAsia="Times New Roman" w:hAnsi="Times New Roman" w:cs="Times New Roman"/>
          <w:lang w:val="en-GB"/>
        </w:rPr>
        <w:t>December 31</w:t>
      </w:r>
      <w:r w:rsidRPr="00245C76">
        <w:rPr>
          <w:rFonts w:ascii="Times New Roman" w:eastAsia="Times New Roman" w:hAnsi="Times New Roman" w:cs="Times New Roman"/>
          <w:lang w:val="en-GB"/>
        </w:rPr>
        <w:t>, 2016.</w:t>
      </w:r>
    </w:p>
    <w:p w:rsidR="00B2198E" w:rsidRPr="00245C76" w:rsidRDefault="00F376BA" w:rsidP="00B2198E">
      <w:pPr>
        <w:autoSpaceDE/>
        <w:autoSpaceDN/>
        <w:adjustRightInd/>
        <w:spacing w:after="0" w:line="230" w:lineRule="auto"/>
        <w:ind w:right="53"/>
        <w:jc w:val="both"/>
        <w:rPr>
          <w:rFonts w:ascii="Times New Roman" w:eastAsia="Times New Roman" w:hAnsi="Times New Roman" w:cs="Times New Roman"/>
        </w:rPr>
      </w:pPr>
    </w:p>
    <w:p w:rsidR="00B2198E" w:rsidRPr="00245C76" w:rsidRDefault="00131273" w:rsidP="00B2198E">
      <w:pPr>
        <w:autoSpaceDE/>
        <w:autoSpaceDN/>
        <w:adjustRightInd/>
        <w:spacing w:after="0" w:line="230" w:lineRule="auto"/>
        <w:ind w:right="53"/>
        <w:jc w:val="both"/>
        <w:rPr>
          <w:rFonts w:ascii="Times New Roman" w:eastAsia="Times New Roman" w:hAnsi="Times New Roman" w:cs="Times New Roman"/>
        </w:rPr>
      </w:pPr>
      <w:r w:rsidRPr="00245C76">
        <w:rPr>
          <w:rFonts w:ascii="Times New Roman" w:eastAsia="Times New Roman" w:hAnsi="Times New Roman" w:cs="Times New Roman"/>
        </w:rPr>
        <w:t xml:space="preserve">Unless otherwise stated, all comparisons </w:t>
      </w:r>
      <w:r w:rsidRPr="003F358B">
        <w:rPr>
          <w:rFonts w:ascii="Times New Roman" w:eastAsia="Times New Roman" w:hAnsi="Times New Roman" w:cs="Times New Roman"/>
        </w:rPr>
        <w:t>are for the f</w:t>
      </w:r>
      <w:r>
        <w:rPr>
          <w:rFonts w:ascii="Times New Roman" w:eastAsia="Times New Roman" w:hAnsi="Times New Roman" w:cs="Times New Roman"/>
        </w:rPr>
        <w:t>ourth quarter and full year 2016</w:t>
      </w:r>
      <w:r w:rsidRPr="003F358B">
        <w:rPr>
          <w:rFonts w:ascii="Times New Roman" w:eastAsia="Times New Roman" w:hAnsi="Times New Roman" w:cs="Times New Roman"/>
        </w:rPr>
        <w:t xml:space="preserve"> compared to the fou</w:t>
      </w:r>
      <w:r>
        <w:rPr>
          <w:rFonts w:ascii="Times New Roman" w:eastAsia="Times New Roman" w:hAnsi="Times New Roman" w:cs="Times New Roman"/>
        </w:rPr>
        <w:t>rth quarter and full year 2015.</w:t>
      </w:r>
    </w:p>
    <w:p w:rsidR="00B2198E" w:rsidRPr="00245C76" w:rsidRDefault="00F376BA" w:rsidP="00B2198E">
      <w:pPr>
        <w:autoSpaceDE/>
        <w:autoSpaceDN/>
        <w:adjustRightInd/>
        <w:spacing w:after="0" w:line="230" w:lineRule="auto"/>
        <w:ind w:right="53"/>
        <w:jc w:val="both"/>
        <w:rPr>
          <w:rFonts w:ascii="Times New Roman" w:eastAsia="Times New Roman" w:hAnsi="Times New Roman" w:cs="Times New Roman"/>
        </w:rPr>
      </w:pPr>
    </w:p>
    <w:p w:rsidR="00B2198E" w:rsidRPr="00245C76" w:rsidRDefault="00131273" w:rsidP="00B2198E">
      <w:pPr>
        <w:autoSpaceDE/>
        <w:adjustRightInd/>
        <w:spacing w:after="0" w:line="228" w:lineRule="auto"/>
        <w:ind w:right="53"/>
        <w:jc w:val="both"/>
        <w:rPr>
          <w:rFonts w:ascii="Times New Roman" w:eastAsia="Times New Roman" w:hAnsi="Times New Roman" w:cs="Times New Roman"/>
        </w:rPr>
      </w:pPr>
      <w:r w:rsidRPr="00245C76">
        <w:rPr>
          <w:rFonts w:ascii="Times New Roman" w:eastAsia="Times New Roman" w:hAnsi="Times New Roman" w:cs="Times New Roman"/>
        </w:rPr>
        <w:t xml:space="preserve">Based on accounting principles generally accepted in the United States (GAAP), </w:t>
      </w:r>
      <w:r w:rsidRPr="00245C76">
        <w:rPr>
          <w:rFonts w:ascii="Times New Roman" w:eastAsia="Times New Roman" w:hAnsi="Times New Roman" w:cs="Times New Roman"/>
          <w:lang w:val="en-GB"/>
        </w:rPr>
        <w:t xml:space="preserve">Puma reported a </w:t>
      </w:r>
      <w:r w:rsidRPr="0002281A">
        <w:rPr>
          <w:rFonts w:ascii="Times New Roman" w:eastAsia="Times New Roman" w:hAnsi="Times New Roman" w:cs="Times New Roman"/>
          <w:lang w:val="en-GB"/>
        </w:rPr>
        <w:t>net loss</w:t>
      </w:r>
      <w:r w:rsidRPr="00245C76">
        <w:rPr>
          <w:rFonts w:ascii="Times New Roman" w:eastAsia="Times New Roman" w:hAnsi="Times New Roman" w:cs="Times New Roman"/>
          <w:lang w:val="en-GB"/>
        </w:rPr>
        <w:t xml:space="preserve"> applicable to common stock of $</w:t>
      </w:r>
      <w:r>
        <w:rPr>
          <w:rFonts w:ascii="Times New Roman" w:eastAsia="Times New Roman" w:hAnsi="Times New Roman" w:cs="Times New Roman"/>
          <w:lang w:val="en-GB"/>
        </w:rPr>
        <w:t>72.</w:t>
      </w:r>
      <w:r w:rsidR="002A4D3C">
        <w:rPr>
          <w:rFonts w:ascii="Times New Roman" w:eastAsia="Times New Roman" w:hAnsi="Times New Roman" w:cs="Times New Roman"/>
          <w:lang w:val="en-GB"/>
        </w:rPr>
        <w:t>7</w:t>
      </w:r>
      <w:r w:rsidRPr="00245C76">
        <w:rPr>
          <w:rFonts w:ascii="Times New Roman" w:eastAsia="Times New Roman" w:hAnsi="Times New Roman" w:cs="Times New Roman"/>
          <w:lang w:val="en-GB"/>
        </w:rPr>
        <w:t xml:space="preserve"> million, or $</w:t>
      </w:r>
      <w:r>
        <w:rPr>
          <w:rFonts w:ascii="Times New Roman" w:eastAsia="Times New Roman" w:hAnsi="Times New Roman" w:cs="Times New Roman"/>
          <w:lang w:val="en-GB"/>
        </w:rPr>
        <w:t>2.0</w:t>
      </w:r>
      <w:r w:rsidR="002A4D3C">
        <w:rPr>
          <w:rFonts w:ascii="Times New Roman" w:eastAsia="Times New Roman" w:hAnsi="Times New Roman" w:cs="Times New Roman"/>
          <w:lang w:val="en-GB"/>
        </w:rPr>
        <w:t>4</w:t>
      </w:r>
      <w:r>
        <w:rPr>
          <w:rFonts w:ascii="Times New Roman" w:eastAsia="Times New Roman" w:hAnsi="Times New Roman" w:cs="Times New Roman"/>
          <w:lang w:val="en-GB"/>
        </w:rPr>
        <w:t xml:space="preserve"> per share, for the fourth</w:t>
      </w:r>
      <w:r w:rsidRPr="00245C76">
        <w:rPr>
          <w:rFonts w:ascii="Times New Roman" w:eastAsia="Times New Roman" w:hAnsi="Times New Roman" w:cs="Times New Roman"/>
          <w:lang w:val="en-GB"/>
        </w:rPr>
        <w:t xml:space="preserve"> quarter of 2016,</w:t>
      </w:r>
      <w:r>
        <w:rPr>
          <w:rFonts w:ascii="Times New Roman" w:eastAsia="Times New Roman" w:hAnsi="Times New Roman" w:cs="Times New Roman"/>
          <w:lang w:val="en-GB"/>
        </w:rPr>
        <w:t xml:space="preserve"> compared to a net loss of $61.7</w:t>
      </w:r>
      <w:r w:rsidRPr="00245C76">
        <w:rPr>
          <w:rFonts w:ascii="Times New Roman" w:eastAsia="Times New Roman" w:hAnsi="Times New Roman" w:cs="Times New Roman"/>
          <w:lang w:val="en-GB"/>
        </w:rPr>
        <w:t xml:space="preserve"> million, o</w:t>
      </w:r>
      <w:r>
        <w:rPr>
          <w:rFonts w:ascii="Times New Roman" w:eastAsia="Times New Roman" w:hAnsi="Times New Roman" w:cs="Times New Roman"/>
          <w:lang w:val="en-GB"/>
        </w:rPr>
        <w:t>r $1.90 per share, for the fourth</w:t>
      </w:r>
      <w:r w:rsidRPr="00245C76">
        <w:rPr>
          <w:rFonts w:ascii="Times New Roman" w:eastAsia="Times New Roman" w:hAnsi="Times New Roman" w:cs="Times New Roman"/>
          <w:lang w:val="en-GB"/>
        </w:rPr>
        <w:t xml:space="preserve"> quarter of 2015. Net loss applicable to common stock for th</w:t>
      </w:r>
      <w:r>
        <w:rPr>
          <w:rFonts w:ascii="Times New Roman" w:eastAsia="Times New Roman" w:hAnsi="Times New Roman" w:cs="Times New Roman"/>
          <w:lang w:val="en-GB"/>
        </w:rPr>
        <w:t>e full year 2016</w:t>
      </w:r>
      <w:r w:rsidRPr="00245C76">
        <w:rPr>
          <w:rFonts w:ascii="Times New Roman" w:eastAsia="Times New Roman" w:hAnsi="Times New Roman" w:cs="Times New Roman"/>
          <w:lang w:val="en-GB"/>
        </w:rPr>
        <w:t xml:space="preserve"> was $</w:t>
      </w:r>
      <w:r>
        <w:rPr>
          <w:rFonts w:ascii="Times New Roman" w:eastAsia="Times New Roman" w:hAnsi="Times New Roman" w:cs="Times New Roman"/>
          <w:lang w:val="en-GB"/>
        </w:rPr>
        <w:t>276.0</w:t>
      </w:r>
      <w:r w:rsidRPr="00245C76">
        <w:rPr>
          <w:rFonts w:ascii="Times New Roman" w:eastAsia="Times New Roman" w:hAnsi="Times New Roman" w:cs="Times New Roman"/>
          <w:lang w:val="en-GB"/>
        </w:rPr>
        <w:t xml:space="preserve"> million, or $</w:t>
      </w:r>
      <w:r>
        <w:rPr>
          <w:rFonts w:ascii="Times New Roman" w:eastAsia="Times New Roman" w:hAnsi="Times New Roman" w:cs="Times New Roman"/>
          <w:lang w:val="en-GB"/>
        </w:rPr>
        <w:t>8.29</w:t>
      </w:r>
      <w:r w:rsidRPr="00245C76">
        <w:rPr>
          <w:rFonts w:ascii="Times New Roman" w:eastAsia="Times New Roman" w:hAnsi="Times New Roman" w:cs="Times New Roman"/>
          <w:lang w:val="en-GB"/>
        </w:rPr>
        <w:t xml:space="preserve"> per share, c</w:t>
      </w:r>
      <w:r>
        <w:rPr>
          <w:rFonts w:ascii="Times New Roman" w:eastAsia="Times New Roman" w:hAnsi="Times New Roman" w:cs="Times New Roman"/>
          <w:lang w:val="en-GB"/>
        </w:rPr>
        <w:t>ompared to $239.3 million, or $7.4</w:t>
      </w:r>
      <w:r w:rsidRPr="00245C76">
        <w:rPr>
          <w:rFonts w:ascii="Times New Roman" w:eastAsia="Times New Roman" w:hAnsi="Times New Roman" w:cs="Times New Roman"/>
          <w:lang w:val="en-GB"/>
        </w:rPr>
        <w:t xml:space="preserve">5 per share, for the </w:t>
      </w:r>
      <w:r>
        <w:rPr>
          <w:rFonts w:ascii="Times New Roman" w:eastAsia="Times New Roman" w:hAnsi="Times New Roman" w:cs="Times New Roman"/>
          <w:lang w:val="en-GB"/>
        </w:rPr>
        <w:t>full year 2015</w:t>
      </w:r>
      <w:r w:rsidRPr="00245C76">
        <w:rPr>
          <w:rFonts w:ascii="Times New Roman" w:eastAsia="Times New Roman" w:hAnsi="Times New Roman" w:cs="Times New Roman"/>
          <w:lang w:val="en-GB"/>
        </w:rPr>
        <w:t xml:space="preserve">.  </w:t>
      </w:r>
    </w:p>
    <w:p w:rsidR="00B2198E" w:rsidRPr="00245C76" w:rsidRDefault="00F376BA" w:rsidP="00B2198E">
      <w:pPr>
        <w:autoSpaceDE/>
        <w:autoSpaceDN/>
        <w:adjustRightInd/>
        <w:spacing w:after="0" w:line="230" w:lineRule="auto"/>
        <w:ind w:right="53"/>
        <w:jc w:val="both"/>
        <w:rPr>
          <w:rFonts w:ascii="Times New Roman" w:eastAsia="Times New Roman" w:hAnsi="Times New Roman" w:cs="Times New Roman"/>
          <w:lang w:val="en-GB"/>
        </w:rPr>
      </w:pPr>
    </w:p>
    <w:p w:rsidR="004F0E2A" w:rsidRDefault="00131273" w:rsidP="00B2198E">
      <w:pPr>
        <w:autoSpaceDE/>
        <w:autoSpaceDN/>
        <w:adjustRightInd/>
        <w:spacing w:after="0" w:line="230" w:lineRule="auto"/>
        <w:ind w:right="53"/>
        <w:jc w:val="both"/>
        <w:rPr>
          <w:rFonts w:ascii="Times New Roman" w:eastAsia="Times New Roman" w:hAnsi="Times New Roman" w:cs="Times New Roman"/>
        </w:rPr>
      </w:pPr>
      <w:r w:rsidRPr="00245C76">
        <w:rPr>
          <w:rFonts w:ascii="Times New Roman" w:eastAsia="Times New Roman" w:hAnsi="Times New Roman" w:cs="Times New Roman"/>
          <w:lang w:val="en-GB"/>
        </w:rPr>
        <w:t>Non-GAAP adjusted net loss was $</w:t>
      </w:r>
      <w:r>
        <w:rPr>
          <w:rFonts w:ascii="Times New Roman" w:eastAsia="Times New Roman" w:hAnsi="Times New Roman" w:cs="Times New Roman"/>
          <w:lang w:val="en-GB"/>
        </w:rPr>
        <w:t>43.</w:t>
      </w:r>
      <w:r w:rsidR="002A4D3C">
        <w:rPr>
          <w:rFonts w:ascii="Times New Roman" w:eastAsia="Times New Roman" w:hAnsi="Times New Roman" w:cs="Times New Roman"/>
          <w:lang w:val="en-GB"/>
        </w:rPr>
        <w:t>4</w:t>
      </w:r>
      <w:r w:rsidRPr="00245C76">
        <w:rPr>
          <w:rFonts w:ascii="Times New Roman" w:eastAsia="Times New Roman" w:hAnsi="Times New Roman" w:cs="Times New Roman"/>
          <w:lang w:val="en-GB"/>
        </w:rPr>
        <w:t xml:space="preserve"> million, or $</w:t>
      </w:r>
      <w:r>
        <w:rPr>
          <w:rFonts w:ascii="Times New Roman" w:eastAsia="Times New Roman" w:hAnsi="Times New Roman" w:cs="Times New Roman"/>
          <w:lang w:val="en-GB"/>
        </w:rPr>
        <w:t>1.2</w:t>
      </w:r>
      <w:r w:rsidR="002A4D3C">
        <w:rPr>
          <w:rFonts w:ascii="Times New Roman" w:eastAsia="Times New Roman" w:hAnsi="Times New Roman" w:cs="Times New Roman"/>
          <w:lang w:val="en-GB"/>
        </w:rPr>
        <w:t>2</w:t>
      </w:r>
      <w:r>
        <w:rPr>
          <w:rFonts w:ascii="Times New Roman" w:eastAsia="Times New Roman" w:hAnsi="Times New Roman" w:cs="Times New Roman"/>
          <w:lang w:val="en-GB"/>
        </w:rPr>
        <w:t xml:space="preserve"> per share, for the fourth</w:t>
      </w:r>
      <w:r w:rsidRPr="00245C76">
        <w:rPr>
          <w:rFonts w:ascii="Times New Roman" w:eastAsia="Times New Roman" w:hAnsi="Times New Roman" w:cs="Times New Roman"/>
          <w:lang w:val="en-GB"/>
        </w:rPr>
        <w:t xml:space="preserve"> quarter of 2016, compared </w:t>
      </w:r>
      <w:r w:rsidRPr="0027620A">
        <w:rPr>
          <w:rFonts w:ascii="Times New Roman" w:eastAsia="Times New Roman" w:hAnsi="Times New Roman" w:cs="Times New Roman"/>
          <w:lang w:val="en-GB"/>
        </w:rPr>
        <w:t>to non-GAAP adjusted net loss of $40.0 million, or $1.23 per share, for the fourth quarter of 2015. Non-GAAP</w:t>
      </w:r>
      <w:r w:rsidRPr="00245C76">
        <w:rPr>
          <w:rFonts w:ascii="Times New Roman" w:eastAsia="Times New Roman" w:hAnsi="Times New Roman" w:cs="Times New Roman"/>
          <w:lang w:val="en-GB"/>
        </w:rPr>
        <w:t xml:space="preserve"> adjusted net loss for the </w:t>
      </w:r>
      <w:r>
        <w:rPr>
          <w:rFonts w:ascii="Times New Roman" w:eastAsia="Times New Roman" w:hAnsi="Times New Roman" w:cs="Times New Roman"/>
          <w:lang w:val="en-GB"/>
        </w:rPr>
        <w:t>full year 2016</w:t>
      </w:r>
      <w:r w:rsidRPr="00245C76">
        <w:rPr>
          <w:rFonts w:ascii="Times New Roman" w:eastAsia="Times New Roman" w:hAnsi="Times New Roman" w:cs="Times New Roman"/>
          <w:lang w:val="en-GB"/>
        </w:rPr>
        <w:t xml:space="preserve"> was $</w:t>
      </w:r>
      <w:r>
        <w:rPr>
          <w:rFonts w:ascii="Times New Roman" w:eastAsia="Times New Roman" w:hAnsi="Times New Roman" w:cs="Times New Roman"/>
          <w:lang w:val="en-GB"/>
        </w:rPr>
        <w:t>158.</w:t>
      </w:r>
      <w:r w:rsidR="002A4D3C">
        <w:rPr>
          <w:rFonts w:ascii="Times New Roman" w:eastAsia="Times New Roman" w:hAnsi="Times New Roman" w:cs="Times New Roman"/>
          <w:lang w:val="en-GB"/>
        </w:rPr>
        <w:t>8</w:t>
      </w:r>
      <w:r w:rsidRPr="00245C76">
        <w:rPr>
          <w:rFonts w:ascii="Times New Roman" w:eastAsia="Times New Roman" w:hAnsi="Times New Roman" w:cs="Times New Roman"/>
          <w:lang w:val="en-GB"/>
        </w:rPr>
        <w:t xml:space="preserve"> million, or $</w:t>
      </w:r>
      <w:r>
        <w:rPr>
          <w:rFonts w:ascii="Times New Roman" w:eastAsia="Times New Roman" w:hAnsi="Times New Roman" w:cs="Times New Roman"/>
          <w:lang w:val="en-GB"/>
        </w:rPr>
        <w:t>4.77 per share, compared to $144.3 million, or $4.49</w:t>
      </w:r>
      <w:r w:rsidRPr="00245C76">
        <w:rPr>
          <w:rFonts w:ascii="Times New Roman" w:eastAsia="Times New Roman" w:hAnsi="Times New Roman" w:cs="Times New Roman"/>
          <w:lang w:val="en-GB"/>
        </w:rPr>
        <w:t xml:space="preserve"> per share, for the </w:t>
      </w:r>
      <w:r>
        <w:rPr>
          <w:rFonts w:ascii="Times New Roman" w:eastAsia="Times New Roman" w:hAnsi="Times New Roman" w:cs="Times New Roman"/>
          <w:lang w:val="en-GB"/>
        </w:rPr>
        <w:t xml:space="preserve">full year 2015. </w:t>
      </w:r>
      <w:r w:rsidRPr="00245C76">
        <w:rPr>
          <w:rFonts w:ascii="Times New Roman" w:eastAsia="Times New Roman" w:hAnsi="Times New Roman" w:cs="Times New Roman"/>
          <w:lang w:val="en-GB"/>
        </w:rPr>
        <w:t>Non-GAAP adjusted net loss</w:t>
      </w:r>
      <w:r w:rsidRPr="00245C76">
        <w:rPr>
          <w:rFonts w:ascii="Times New Roman" w:eastAsia="Times New Roman" w:hAnsi="Times New Roman" w:cs="Times New Roman"/>
        </w:rPr>
        <w:t xml:space="preserve"> excludes stock-based compensation expense, which represents a significant portion of overall expense and has no impact on the cash position of the Company</w:t>
      </w:r>
      <w:r w:rsidRPr="0002281A">
        <w:rPr>
          <w:rFonts w:ascii="Times New Roman" w:eastAsia="Times New Roman" w:hAnsi="Times New Roman" w:cs="Times New Roman"/>
        </w:rPr>
        <w:t xml:space="preserve">.  For a reconciliation of </w:t>
      </w:r>
      <w:r>
        <w:rPr>
          <w:rFonts w:ascii="Times New Roman" w:eastAsia="Times New Roman" w:hAnsi="Times New Roman" w:cs="Times New Roman"/>
        </w:rPr>
        <w:t>GAAP net loss to non-GAAP adjusted net loss and GAAP net loss per share to non-GAAP</w:t>
      </w:r>
      <w:r w:rsidRPr="0002281A">
        <w:rPr>
          <w:rFonts w:ascii="Times New Roman" w:eastAsia="Times New Roman" w:hAnsi="Times New Roman" w:cs="Times New Roman"/>
        </w:rPr>
        <w:t xml:space="preserve"> </w:t>
      </w:r>
      <w:r>
        <w:rPr>
          <w:rFonts w:ascii="Times New Roman" w:eastAsia="Times New Roman" w:hAnsi="Times New Roman" w:cs="Times New Roman"/>
        </w:rPr>
        <w:t xml:space="preserve">adjusted net loss per share, </w:t>
      </w:r>
      <w:r w:rsidRPr="0002281A">
        <w:rPr>
          <w:rFonts w:ascii="Times New Roman" w:eastAsia="Times New Roman" w:hAnsi="Times New Roman" w:cs="Times New Roman"/>
        </w:rPr>
        <w:t>please see the financial tables at the end of this news release.</w:t>
      </w:r>
      <w:r w:rsidRPr="00245C76">
        <w:rPr>
          <w:rFonts w:ascii="Times New Roman" w:eastAsia="Times New Roman" w:hAnsi="Times New Roman" w:cs="Times New Roman"/>
        </w:rPr>
        <w:t xml:space="preserve"> </w:t>
      </w:r>
    </w:p>
    <w:p w:rsidR="00E51B28" w:rsidRPr="00245C76" w:rsidRDefault="00F376BA" w:rsidP="00B2198E">
      <w:pPr>
        <w:autoSpaceDE/>
        <w:autoSpaceDN/>
        <w:adjustRightInd/>
        <w:spacing w:after="0" w:line="230" w:lineRule="auto"/>
        <w:ind w:right="53"/>
        <w:jc w:val="both"/>
        <w:rPr>
          <w:rFonts w:ascii="Times New Roman" w:eastAsia="Times New Roman" w:hAnsi="Times New Roman" w:cs="Times New Roman"/>
          <w:lang w:val="en-GB"/>
        </w:rPr>
      </w:pPr>
    </w:p>
    <w:p w:rsidR="004F0E2A" w:rsidRDefault="00131273" w:rsidP="00B2198E">
      <w:pPr>
        <w:autoSpaceDE/>
        <w:autoSpaceDN/>
        <w:adjustRightInd/>
        <w:spacing w:after="0" w:line="230" w:lineRule="auto"/>
        <w:ind w:right="53"/>
        <w:jc w:val="both"/>
        <w:rPr>
          <w:rFonts w:ascii="Times New Roman" w:eastAsia="Times New Roman" w:hAnsi="Times New Roman" w:cs="Times New Roman"/>
          <w:lang w:val="en-GB"/>
        </w:rPr>
      </w:pPr>
      <w:r w:rsidRPr="00245C76">
        <w:rPr>
          <w:rFonts w:ascii="Times New Roman" w:eastAsia="Times New Roman" w:hAnsi="Times New Roman" w:cs="Times New Roman"/>
          <w:lang w:val="en-GB"/>
        </w:rPr>
        <w:t>Net cash used in op</w:t>
      </w:r>
      <w:r>
        <w:rPr>
          <w:rFonts w:ascii="Times New Roman" w:eastAsia="Times New Roman" w:hAnsi="Times New Roman" w:cs="Times New Roman"/>
          <w:lang w:val="en-GB"/>
        </w:rPr>
        <w:t>erating activities for the fourth</w:t>
      </w:r>
      <w:r w:rsidRPr="00245C76">
        <w:rPr>
          <w:rFonts w:ascii="Times New Roman" w:eastAsia="Times New Roman" w:hAnsi="Times New Roman" w:cs="Times New Roman"/>
          <w:lang w:val="en-GB"/>
        </w:rPr>
        <w:t xml:space="preserve"> quarter of 2016 was $</w:t>
      </w:r>
      <w:r>
        <w:rPr>
          <w:rFonts w:ascii="Times New Roman" w:eastAsia="Times New Roman" w:hAnsi="Times New Roman" w:cs="Times New Roman"/>
          <w:lang w:val="en-GB"/>
        </w:rPr>
        <w:t xml:space="preserve">41.0 </w:t>
      </w:r>
      <w:r w:rsidRPr="00245C76">
        <w:rPr>
          <w:rFonts w:ascii="Times New Roman" w:eastAsia="Times New Roman" w:hAnsi="Times New Roman" w:cs="Times New Roman"/>
          <w:lang w:val="en-GB"/>
        </w:rPr>
        <w:t xml:space="preserve">million. Net cash used in operating activities for the </w:t>
      </w:r>
      <w:r>
        <w:rPr>
          <w:rFonts w:ascii="Times New Roman" w:eastAsia="Times New Roman" w:hAnsi="Times New Roman" w:cs="Times New Roman"/>
          <w:lang w:val="en-GB"/>
        </w:rPr>
        <w:t>full year</w:t>
      </w:r>
      <w:r w:rsidRPr="00245C76">
        <w:rPr>
          <w:rFonts w:ascii="Times New Roman" w:eastAsia="Times New Roman" w:hAnsi="Times New Roman" w:cs="Times New Roman"/>
          <w:lang w:val="en-GB"/>
        </w:rPr>
        <w:t xml:space="preserve"> 2016 was $</w:t>
      </w:r>
      <w:r>
        <w:rPr>
          <w:rFonts w:ascii="Times New Roman" w:eastAsia="Times New Roman" w:hAnsi="Times New Roman" w:cs="Times New Roman"/>
          <w:lang w:val="en-GB"/>
        </w:rPr>
        <w:t>141.7</w:t>
      </w:r>
      <w:r w:rsidRPr="00245C76">
        <w:rPr>
          <w:rFonts w:ascii="Times New Roman" w:eastAsia="Times New Roman" w:hAnsi="Times New Roman" w:cs="Times New Roman"/>
          <w:lang w:val="en-GB"/>
        </w:rPr>
        <w:t xml:space="preserve"> million. </w:t>
      </w:r>
      <w:r w:rsidRPr="00FF7EA0">
        <w:rPr>
          <w:rFonts w:ascii="Times New Roman" w:eastAsia="Times New Roman" w:hAnsi="Times New Roman" w:cs="Times New Roman"/>
          <w:lang w:val="en-GB"/>
        </w:rPr>
        <w:t>At</w:t>
      </w:r>
      <w:r>
        <w:rPr>
          <w:rFonts w:ascii="Times New Roman" w:eastAsia="Times New Roman" w:hAnsi="Times New Roman" w:cs="Times New Roman"/>
          <w:lang w:val="en-GB"/>
        </w:rPr>
        <w:t xml:space="preserve"> December 31</w:t>
      </w:r>
      <w:r w:rsidRPr="00245C76">
        <w:rPr>
          <w:rFonts w:ascii="Times New Roman" w:eastAsia="Times New Roman" w:hAnsi="Times New Roman" w:cs="Times New Roman"/>
          <w:lang w:val="en-GB"/>
        </w:rPr>
        <w:t>, 2016, Puma had cash and cash equivalents of $</w:t>
      </w:r>
      <w:r>
        <w:rPr>
          <w:rFonts w:ascii="Times New Roman" w:eastAsia="Times New Roman" w:hAnsi="Times New Roman" w:cs="Times New Roman"/>
          <w:lang w:val="en-GB"/>
        </w:rPr>
        <w:t>194.5</w:t>
      </w:r>
      <w:r w:rsidRPr="00245C76">
        <w:rPr>
          <w:rFonts w:ascii="Times New Roman" w:eastAsia="Times New Roman" w:hAnsi="Times New Roman" w:cs="Times New Roman"/>
          <w:lang w:val="en-GB"/>
        </w:rPr>
        <w:t xml:space="preserve"> million and marketable securities of $</w:t>
      </w:r>
      <w:r>
        <w:rPr>
          <w:rFonts w:ascii="Times New Roman" w:eastAsia="Times New Roman" w:hAnsi="Times New Roman" w:cs="Times New Roman"/>
          <w:lang w:val="en-GB"/>
        </w:rPr>
        <w:t>35.0</w:t>
      </w:r>
      <w:r w:rsidRPr="00245C76">
        <w:rPr>
          <w:rFonts w:ascii="Times New Roman" w:eastAsia="Times New Roman" w:hAnsi="Times New Roman" w:cs="Times New Roman"/>
          <w:lang w:val="en-GB"/>
        </w:rPr>
        <w:t xml:space="preserve"> million, compared to cash and cash equivalents of $</w:t>
      </w:r>
      <w:r>
        <w:rPr>
          <w:rFonts w:ascii="Times New Roman" w:eastAsia="Times New Roman" w:hAnsi="Times New Roman" w:cs="Times New Roman"/>
          <w:lang w:val="en-GB"/>
        </w:rPr>
        <w:t>31.6</w:t>
      </w:r>
      <w:r w:rsidRPr="00245C76">
        <w:rPr>
          <w:rFonts w:ascii="Times New Roman" w:eastAsia="Times New Roman" w:hAnsi="Times New Roman" w:cs="Times New Roman"/>
          <w:lang w:val="en-GB"/>
        </w:rPr>
        <w:t xml:space="preserve"> million and marketable securities of $184.3 million at December 31, 2015.</w:t>
      </w:r>
      <w:r>
        <w:rPr>
          <w:rFonts w:ascii="Times New Roman" w:eastAsia="Times New Roman" w:hAnsi="Times New Roman" w:cs="Times New Roman"/>
          <w:lang w:val="en-GB"/>
        </w:rPr>
        <w:t xml:space="preserve"> The Company’s balance of cash, cash equivalents and marketable securities at year-end 2016 includes the net proceeds of approximately </w:t>
      </w:r>
      <w:r w:rsidRPr="007E6A59">
        <w:rPr>
          <w:rFonts w:ascii="Times New Roman" w:eastAsia="Times New Roman" w:hAnsi="Times New Roman" w:cs="Times New Roman"/>
          <w:lang w:val="en-GB"/>
        </w:rPr>
        <w:t>$162 million</w:t>
      </w:r>
      <w:r>
        <w:rPr>
          <w:rFonts w:ascii="Times New Roman" w:eastAsia="Times New Roman" w:hAnsi="Times New Roman" w:cs="Times New Roman"/>
          <w:lang w:val="en-GB"/>
        </w:rPr>
        <w:t xml:space="preserve"> received from the Company’s public offering in October 2016.</w:t>
      </w:r>
    </w:p>
    <w:p w:rsidR="0072191F" w:rsidRPr="00245C76" w:rsidRDefault="00F376BA" w:rsidP="00B2198E">
      <w:pPr>
        <w:autoSpaceDE/>
        <w:autoSpaceDN/>
        <w:adjustRightInd/>
        <w:spacing w:after="0" w:line="230" w:lineRule="auto"/>
        <w:ind w:right="53"/>
        <w:jc w:val="both"/>
        <w:rPr>
          <w:rFonts w:ascii="Times New Roman" w:eastAsia="Times New Roman" w:hAnsi="Times New Roman" w:cs="Times New Roman"/>
          <w:lang w:val="en-GB"/>
        </w:rPr>
      </w:pPr>
    </w:p>
    <w:p w:rsidR="0041151A" w:rsidRDefault="00131273" w:rsidP="00B2198E">
      <w:pPr>
        <w:autoSpaceDE/>
        <w:autoSpaceDN/>
        <w:adjustRightInd/>
        <w:spacing w:after="0" w:line="230" w:lineRule="auto"/>
        <w:ind w:right="53"/>
        <w:jc w:val="both"/>
        <w:rPr>
          <w:rFonts w:ascii="Times New Roman" w:eastAsia="Times New Roman" w:hAnsi="Times New Roman" w:cs="Times New Roman"/>
          <w:lang w:val="en-GB"/>
        </w:rPr>
      </w:pPr>
      <w:r w:rsidRPr="00245C76">
        <w:rPr>
          <w:rFonts w:ascii="Times New Roman" w:eastAsia="Times New Roman" w:hAnsi="Times New Roman" w:cs="Times New Roman"/>
          <w:lang w:val="en-GB"/>
        </w:rPr>
        <w:t>“</w:t>
      </w:r>
      <w:r w:rsidRPr="00E84ECE">
        <w:rPr>
          <w:rFonts w:ascii="Times New Roman" w:eastAsia="Times New Roman" w:hAnsi="Times New Roman" w:cs="Times New Roman"/>
          <w:lang w:val="en-GB"/>
        </w:rPr>
        <w:t xml:space="preserve">We </w:t>
      </w:r>
      <w:r>
        <w:rPr>
          <w:rFonts w:ascii="Times New Roman" w:eastAsia="Times New Roman" w:hAnsi="Times New Roman" w:cs="Times New Roman"/>
          <w:lang w:val="en-GB"/>
        </w:rPr>
        <w:t>made</w:t>
      </w:r>
      <w:r w:rsidRPr="00E84ECE">
        <w:rPr>
          <w:rFonts w:ascii="Times New Roman" w:eastAsia="Times New Roman" w:hAnsi="Times New Roman" w:cs="Times New Roman"/>
          <w:lang w:val="en-GB"/>
        </w:rPr>
        <w:t xml:space="preserve"> significant progress with the neratinib clinical program</w:t>
      </w:r>
      <w:r>
        <w:rPr>
          <w:rFonts w:ascii="Times New Roman" w:eastAsia="Times New Roman" w:hAnsi="Times New Roman" w:cs="Times New Roman"/>
          <w:lang w:val="en-GB"/>
        </w:rPr>
        <w:t xml:space="preserve"> during the fourth quarter,” </w:t>
      </w:r>
      <w:r w:rsidRPr="00245C76">
        <w:rPr>
          <w:rFonts w:ascii="Times New Roman" w:eastAsia="Times New Roman" w:hAnsi="Times New Roman" w:cs="Times New Roman"/>
          <w:lang w:val="en-GB"/>
        </w:rPr>
        <w:t xml:space="preserve">said </w:t>
      </w:r>
      <w:r w:rsidRPr="0027620A">
        <w:rPr>
          <w:rFonts w:ascii="Times New Roman" w:eastAsia="Times New Roman" w:hAnsi="Times New Roman" w:cs="Times New Roman"/>
          <w:lang w:val="en-GB"/>
        </w:rPr>
        <w:t>Alan H. Auerbach, Chairman, Chief Executive Officer and President of Puma. “</w:t>
      </w:r>
      <w:r>
        <w:rPr>
          <w:rFonts w:ascii="Times New Roman" w:eastAsia="Times New Roman" w:hAnsi="Times New Roman" w:cs="Times New Roman"/>
          <w:lang w:val="en-GB"/>
        </w:rPr>
        <w:t>We presented additional r</w:t>
      </w:r>
      <w:r w:rsidRPr="00C62218">
        <w:rPr>
          <w:rFonts w:ascii="Times New Roman" w:eastAsia="Times New Roman" w:hAnsi="Times New Roman" w:cs="Times New Roman"/>
          <w:lang w:val="en-GB"/>
        </w:rPr>
        <w:t xml:space="preserve">esults of </w:t>
      </w:r>
      <w:r>
        <w:rPr>
          <w:rFonts w:ascii="Times New Roman" w:eastAsia="Times New Roman" w:hAnsi="Times New Roman" w:cs="Times New Roman"/>
          <w:lang w:val="en-GB"/>
        </w:rPr>
        <w:t xml:space="preserve">several ongoing studies </w:t>
      </w:r>
      <w:r w:rsidRPr="00C62218">
        <w:rPr>
          <w:rFonts w:ascii="Times New Roman" w:eastAsia="Times New Roman" w:hAnsi="Times New Roman" w:cs="Times New Roman"/>
          <w:lang w:val="en-GB"/>
        </w:rPr>
        <w:t xml:space="preserve">at the 2016 San Antonio Breast Cancer </w:t>
      </w:r>
      <w:r w:rsidRPr="005A2C9E">
        <w:rPr>
          <w:rFonts w:ascii="Times New Roman" w:eastAsia="Times New Roman" w:hAnsi="Times New Roman" w:cs="Times New Roman"/>
          <w:lang w:val="en-GB"/>
        </w:rPr>
        <w:t>Symposium</w:t>
      </w:r>
      <w:r>
        <w:rPr>
          <w:rFonts w:ascii="Times New Roman" w:eastAsia="Times New Roman" w:hAnsi="Times New Roman" w:cs="Times New Roman"/>
          <w:lang w:val="en-GB"/>
        </w:rPr>
        <w:t>,</w:t>
      </w:r>
      <w:r w:rsidRPr="005A2C9E">
        <w:rPr>
          <w:rFonts w:ascii="Times New Roman" w:eastAsia="Times New Roman" w:hAnsi="Times New Roman" w:cs="Times New Roman"/>
          <w:lang w:val="en-GB"/>
        </w:rPr>
        <w:t xml:space="preserve"> including </w:t>
      </w:r>
      <w:r>
        <w:rPr>
          <w:rFonts w:ascii="Times New Roman" w:eastAsia="Times New Roman" w:hAnsi="Times New Roman" w:cs="Times New Roman"/>
          <w:lang w:val="en-GB"/>
        </w:rPr>
        <w:t xml:space="preserve">our </w:t>
      </w:r>
      <w:r w:rsidRPr="005A2C9E">
        <w:rPr>
          <w:rFonts w:ascii="Times New Roman" w:eastAsia="Times New Roman" w:hAnsi="Times New Roman" w:cs="Times New Roman"/>
          <w:lang w:val="en-GB"/>
        </w:rPr>
        <w:t xml:space="preserve">Phase II CONTROL trial of PB272 in </w:t>
      </w:r>
      <w:r>
        <w:rPr>
          <w:rFonts w:ascii="Times New Roman" w:eastAsia="Times New Roman" w:hAnsi="Times New Roman" w:cs="Times New Roman"/>
          <w:lang w:val="en-GB"/>
        </w:rPr>
        <w:t xml:space="preserve">the </w:t>
      </w:r>
      <w:r w:rsidRPr="005A2C9E">
        <w:rPr>
          <w:rFonts w:ascii="Times New Roman" w:eastAsia="Times New Roman" w:hAnsi="Times New Roman" w:cs="Times New Roman"/>
          <w:lang w:val="en-GB"/>
        </w:rPr>
        <w:t>extended adjuvant treatment of HER2-positive early stage breast cancer</w:t>
      </w:r>
      <w:r>
        <w:rPr>
          <w:rFonts w:ascii="Times New Roman" w:eastAsia="Times New Roman" w:hAnsi="Times New Roman" w:cs="Times New Roman"/>
          <w:lang w:val="en-GB"/>
        </w:rPr>
        <w:t>;</w:t>
      </w:r>
      <w:r w:rsidRPr="005A2C9E">
        <w:rPr>
          <w:rFonts w:ascii="Times New Roman" w:eastAsia="Times New Roman" w:hAnsi="Times New Roman" w:cs="Times New Roman"/>
          <w:lang w:val="en-GB"/>
        </w:rPr>
        <w:t xml:space="preserve"> </w:t>
      </w:r>
      <w:r>
        <w:rPr>
          <w:rFonts w:ascii="Times New Roman" w:eastAsia="Times New Roman" w:hAnsi="Times New Roman" w:cs="Times New Roman"/>
          <w:lang w:val="en-GB"/>
        </w:rPr>
        <w:t xml:space="preserve">a biomarker analysis of the NSABP FB-7 Phase II trial for the </w:t>
      </w:r>
      <w:proofErr w:type="spellStart"/>
      <w:r w:rsidRPr="005A2C9E">
        <w:rPr>
          <w:rFonts w:ascii="Times New Roman" w:eastAsia="Times New Roman" w:hAnsi="Times New Roman" w:cs="Times New Roman"/>
          <w:lang w:val="en-GB"/>
        </w:rPr>
        <w:t>neoadjuvant</w:t>
      </w:r>
      <w:proofErr w:type="spellEnd"/>
      <w:r w:rsidRPr="005A2C9E">
        <w:rPr>
          <w:rFonts w:ascii="Times New Roman" w:eastAsia="Times New Roman" w:hAnsi="Times New Roman" w:cs="Times New Roman"/>
          <w:lang w:val="en-GB"/>
        </w:rPr>
        <w:t xml:space="preserve"> </w:t>
      </w:r>
      <w:r>
        <w:rPr>
          <w:rFonts w:ascii="Times New Roman" w:eastAsia="Times New Roman" w:hAnsi="Times New Roman" w:cs="Times New Roman"/>
          <w:lang w:val="en-GB"/>
        </w:rPr>
        <w:t>t</w:t>
      </w:r>
      <w:r w:rsidRPr="005A2C9E">
        <w:rPr>
          <w:rFonts w:ascii="Times New Roman" w:eastAsia="Times New Roman" w:hAnsi="Times New Roman" w:cs="Times New Roman"/>
          <w:lang w:val="en-GB"/>
        </w:rPr>
        <w:t>reatment of HER2-positive locally advanced breast cancer</w:t>
      </w:r>
      <w:r>
        <w:rPr>
          <w:rFonts w:ascii="Times New Roman" w:eastAsia="Times New Roman" w:hAnsi="Times New Roman" w:cs="Times New Roman"/>
          <w:lang w:val="en-GB"/>
        </w:rPr>
        <w:t>;</w:t>
      </w:r>
      <w:r w:rsidRPr="005A2C9E">
        <w:rPr>
          <w:rFonts w:ascii="Times New Roman" w:eastAsia="Times New Roman" w:hAnsi="Times New Roman" w:cs="Times New Roman"/>
          <w:lang w:val="en-GB"/>
        </w:rPr>
        <w:t xml:space="preserve"> and </w:t>
      </w:r>
      <w:r>
        <w:rPr>
          <w:rFonts w:ascii="Times New Roman" w:eastAsia="Times New Roman" w:hAnsi="Times New Roman" w:cs="Times New Roman"/>
          <w:lang w:val="en-GB"/>
        </w:rPr>
        <w:t xml:space="preserve">the </w:t>
      </w:r>
      <w:r w:rsidRPr="005A2C9E">
        <w:rPr>
          <w:rFonts w:ascii="Times New Roman" w:eastAsia="Times New Roman" w:hAnsi="Times New Roman" w:cs="Times New Roman"/>
          <w:lang w:val="en-GB"/>
        </w:rPr>
        <w:t>Phase II</w:t>
      </w:r>
      <w:r>
        <w:rPr>
          <w:rFonts w:ascii="Times New Roman" w:eastAsia="Times New Roman" w:hAnsi="Times New Roman" w:cs="Times New Roman"/>
          <w:lang w:val="en-GB"/>
        </w:rPr>
        <w:t xml:space="preserve"> SUMMIT</w:t>
      </w:r>
      <w:r w:rsidRPr="005A2C9E">
        <w:rPr>
          <w:rFonts w:ascii="Times New Roman" w:eastAsia="Times New Roman" w:hAnsi="Times New Roman" w:cs="Times New Roman"/>
          <w:lang w:val="en-GB"/>
        </w:rPr>
        <w:t xml:space="preserve"> trial of PB272 for ERBB2 (HER2) mutant, HER2 non-amplified metastatic breast cancer.</w:t>
      </w:r>
      <w:r>
        <w:rPr>
          <w:rFonts w:ascii="Times New Roman" w:eastAsia="Times New Roman" w:hAnsi="Times New Roman" w:cs="Times New Roman"/>
          <w:lang w:val="en-GB"/>
        </w:rPr>
        <w:t xml:space="preserve">  </w:t>
      </w:r>
      <w:r w:rsidRPr="0027620A">
        <w:rPr>
          <w:rFonts w:ascii="Times New Roman" w:eastAsia="Times New Roman" w:hAnsi="Times New Roman" w:cs="Times New Roman"/>
          <w:lang w:val="en-GB"/>
        </w:rPr>
        <w:t xml:space="preserve">We </w:t>
      </w:r>
      <w:r>
        <w:rPr>
          <w:rFonts w:ascii="Times New Roman" w:eastAsia="Times New Roman" w:hAnsi="Times New Roman" w:cs="Times New Roman"/>
          <w:lang w:val="en-GB"/>
        </w:rPr>
        <w:t xml:space="preserve">also </w:t>
      </w:r>
      <w:r w:rsidRPr="0027620A">
        <w:rPr>
          <w:rFonts w:ascii="Times New Roman" w:eastAsia="Times New Roman" w:hAnsi="Times New Roman" w:cs="Times New Roman"/>
          <w:lang w:val="en-GB"/>
        </w:rPr>
        <w:t>initiated a Managed Access</w:t>
      </w:r>
      <w:r>
        <w:rPr>
          <w:rFonts w:ascii="Times New Roman" w:eastAsia="Times New Roman" w:hAnsi="Times New Roman" w:cs="Times New Roman"/>
          <w:lang w:val="en-GB"/>
        </w:rPr>
        <w:t xml:space="preserve"> Program for PB272 (neratinib) o</w:t>
      </w:r>
      <w:r w:rsidRPr="007F51A7">
        <w:rPr>
          <w:rFonts w:ascii="Times New Roman" w:eastAsia="Times New Roman" w:hAnsi="Times New Roman" w:cs="Times New Roman"/>
          <w:lang w:val="en-GB"/>
        </w:rPr>
        <w:t>utside the United States</w:t>
      </w:r>
      <w:r>
        <w:rPr>
          <w:rFonts w:ascii="Times New Roman" w:eastAsia="Times New Roman" w:hAnsi="Times New Roman" w:cs="Times New Roman"/>
          <w:lang w:val="en-GB"/>
        </w:rPr>
        <w:t>, providing</w:t>
      </w:r>
      <w:r w:rsidRPr="005A2C9E">
        <w:rPr>
          <w:rFonts w:ascii="Times New Roman" w:eastAsia="Times New Roman" w:hAnsi="Times New Roman" w:cs="Times New Roman"/>
          <w:lang w:val="en-GB"/>
        </w:rPr>
        <w:t xml:space="preserve"> physicians and patients access to </w:t>
      </w:r>
      <w:r>
        <w:rPr>
          <w:rFonts w:ascii="Times New Roman" w:eastAsia="Times New Roman" w:hAnsi="Times New Roman" w:cs="Times New Roman"/>
          <w:lang w:val="en-GB"/>
        </w:rPr>
        <w:t>PB272</w:t>
      </w:r>
      <w:r w:rsidRPr="005A2C9E">
        <w:rPr>
          <w:rFonts w:ascii="Times New Roman" w:eastAsia="Times New Roman" w:hAnsi="Times New Roman" w:cs="Times New Roman"/>
          <w:lang w:val="en-GB"/>
        </w:rPr>
        <w:t xml:space="preserve"> when there are limited or no other therapeutic options available</w:t>
      </w:r>
      <w:r>
        <w:rPr>
          <w:rFonts w:ascii="Times New Roman" w:eastAsia="Times New Roman" w:hAnsi="Times New Roman" w:cs="Times New Roman"/>
          <w:lang w:val="en-GB"/>
        </w:rPr>
        <w:t>.</w:t>
      </w:r>
      <w:r w:rsidRPr="005A2C9E">
        <w:rPr>
          <w:rFonts w:ascii="Times New Roman" w:eastAsia="Times New Roman" w:hAnsi="Times New Roman" w:cs="Times New Roman"/>
          <w:lang w:val="en-GB"/>
        </w:rPr>
        <w:t>”</w:t>
      </w:r>
    </w:p>
    <w:p w:rsidR="00DC6CE2" w:rsidRPr="00245C76" w:rsidRDefault="00F376BA" w:rsidP="00B2198E">
      <w:pPr>
        <w:autoSpaceDE/>
        <w:autoSpaceDN/>
        <w:adjustRightInd/>
        <w:spacing w:after="0" w:line="230" w:lineRule="auto"/>
        <w:ind w:right="53"/>
        <w:jc w:val="both"/>
        <w:rPr>
          <w:rFonts w:ascii="Times New Roman" w:eastAsia="Times New Roman" w:hAnsi="Times New Roman" w:cs="Times New Roman"/>
          <w:lang w:val="en-GB"/>
        </w:rPr>
      </w:pPr>
    </w:p>
    <w:p w:rsidR="00667FD2" w:rsidRPr="00A10D44" w:rsidRDefault="00131273" w:rsidP="00354116">
      <w:pPr>
        <w:autoSpaceDE/>
        <w:autoSpaceDN/>
        <w:adjustRightInd/>
        <w:spacing w:after="0" w:line="230" w:lineRule="auto"/>
        <w:ind w:right="53"/>
        <w:jc w:val="both"/>
        <w:rPr>
          <w:rFonts w:ascii="Times New Roman" w:eastAsia="Times New Roman" w:hAnsi="Times New Roman" w:cs="Times New Roman"/>
        </w:rPr>
      </w:pPr>
      <w:r>
        <w:rPr>
          <w:rFonts w:ascii="Times New Roman" w:eastAsia="Times New Roman" w:hAnsi="Times New Roman" w:cs="Times New Roman"/>
          <w:lang w:val="en-GB"/>
        </w:rPr>
        <w:t>Mr. Auerbach added, “During 2017, we anticipate the following key milestones with neratinib</w:t>
      </w:r>
      <w:r w:rsidRPr="00245C76">
        <w:rPr>
          <w:rFonts w:ascii="Times New Roman" w:eastAsia="Times New Roman" w:hAnsi="Times New Roman" w:cs="Times New Roman"/>
          <w:lang w:val="en-GB"/>
        </w:rPr>
        <w:t>:</w:t>
      </w:r>
      <w:r>
        <w:rPr>
          <w:rFonts w:ascii="Times New Roman" w:eastAsia="Times New Roman" w:hAnsi="Times New Roman" w:cs="Times New Roman"/>
          <w:lang w:val="en-GB"/>
        </w:rPr>
        <w:t xml:space="preserve"> </w:t>
      </w:r>
      <w:r w:rsidRPr="00245C76">
        <w:rPr>
          <w:rFonts w:ascii="Times New Roman" w:eastAsia="Times New Roman" w:hAnsi="Times New Roman" w:cs="Times New Roman"/>
          <w:lang w:val="en-GB"/>
        </w:rPr>
        <w:t>(</w:t>
      </w:r>
      <w:proofErr w:type="spellStart"/>
      <w:r w:rsidRPr="00245C76">
        <w:rPr>
          <w:rFonts w:ascii="Times New Roman" w:eastAsia="Times New Roman" w:hAnsi="Times New Roman" w:cs="Times New Roman"/>
          <w:lang w:val="en-GB"/>
        </w:rPr>
        <w:t>i</w:t>
      </w:r>
      <w:proofErr w:type="spellEnd"/>
      <w:r w:rsidRPr="00245C76">
        <w:rPr>
          <w:rFonts w:ascii="Times New Roman" w:eastAsia="Times New Roman" w:hAnsi="Times New Roman" w:cs="Times New Roman"/>
          <w:lang w:val="en-GB"/>
        </w:rPr>
        <w:t xml:space="preserve">) </w:t>
      </w:r>
      <w:r>
        <w:rPr>
          <w:rFonts w:ascii="Times New Roman" w:eastAsia="Times New Roman" w:hAnsi="Times New Roman" w:cs="Times New Roman"/>
          <w:lang w:val="en-GB"/>
        </w:rPr>
        <w:t>r</w:t>
      </w:r>
      <w:r w:rsidRPr="00F355EE">
        <w:rPr>
          <w:rFonts w:ascii="Times New Roman" w:eastAsia="Times New Roman" w:hAnsi="Times New Roman" w:cs="Times New Roman"/>
          <w:lang w:val="en-GB"/>
        </w:rPr>
        <w:t>eport</w:t>
      </w:r>
      <w:r>
        <w:rPr>
          <w:rFonts w:ascii="Times New Roman" w:eastAsia="Times New Roman" w:hAnsi="Times New Roman" w:cs="Times New Roman"/>
          <w:lang w:val="en-GB"/>
        </w:rPr>
        <w:t>ing</w:t>
      </w:r>
      <w:r w:rsidRPr="00F355EE">
        <w:rPr>
          <w:rFonts w:ascii="Times New Roman" w:eastAsia="Times New Roman" w:hAnsi="Times New Roman" w:cs="Times New Roman"/>
          <w:lang w:val="en-GB"/>
        </w:rPr>
        <w:t xml:space="preserve"> additional data</w:t>
      </w:r>
      <w:r>
        <w:rPr>
          <w:rFonts w:ascii="Times New Roman" w:eastAsia="Times New Roman" w:hAnsi="Times New Roman" w:cs="Times New Roman"/>
          <w:lang w:val="en-GB"/>
        </w:rPr>
        <w:t xml:space="preserve"> in the second quarter of 2017</w:t>
      </w:r>
      <w:r w:rsidRPr="00F355EE">
        <w:rPr>
          <w:rFonts w:ascii="Times New Roman" w:eastAsia="Times New Roman" w:hAnsi="Times New Roman" w:cs="Times New Roman"/>
          <w:lang w:val="en-GB"/>
        </w:rPr>
        <w:t xml:space="preserve"> from </w:t>
      </w:r>
      <w:r>
        <w:rPr>
          <w:rFonts w:ascii="Times New Roman" w:eastAsia="Times New Roman" w:hAnsi="Times New Roman" w:cs="Times New Roman"/>
          <w:lang w:val="en-GB"/>
        </w:rPr>
        <w:t xml:space="preserve">the </w:t>
      </w:r>
      <w:r w:rsidRPr="00F355EE">
        <w:rPr>
          <w:rFonts w:ascii="Times New Roman" w:eastAsia="Times New Roman" w:hAnsi="Times New Roman" w:cs="Times New Roman"/>
          <w:lang w:val="en-GB"/>
        </w:rPr>
        <w:t xml:space="preserve">Phase II CONTROL trial </w:t>
      </w:r>
      <w:r w:rsidRPr="00354116">
        <w:rPr>
          <w:rFonts w:ascii="Times New Roman" w:eastAsia="Times New Roman" w:hAnsi="Times New Roman" w:cs="Times New Roman"/>
        </w:rPr>
        <w:t xml:space="preserve"> of neratinib as an extended adjuvant treatment in HER2-positive early stage breast cancer using </w:t>
      </w:r>
      <w:r>
        <w:rPr>
          <w:rFonts w:ascii="Times New Roman" w:eastAsia="Times New Roman" w:hAnsi="Times New Roman" w:cs="Times New Roman"/>
        </w:rPr>
        <w:t xml:space="preserve">antidiarrheal </w:t>
      </w:r>
      <w:r w:rsidRPr="00354116">
        <w:rPr>
          <w:rFonts w:ascii="Times New Roman" w:eastAsia="Times New Roman" w:hAnsi="Times New Roman" w:cs="Times New Roman"/>
        </w:rPr>
        <w:t>prophylaxis</w:t>
      </w:r>
      <w:r>
        <w:rPr>
          <w:rFonts w:ascii="Times New Roman" w:eastAsia="Times New Roman" w:hAnsi="Times New Roman" w:cs="Times New Roman"/>
        </w:rPr>
        <w:t xml:space="preserve"> with </w:t>
      </w:r>
      <w:proofErr w:type="spellStart"/>
      <w:r>
        <w:rPr>
          <w:rFonts w:ascii="Times New Roman" w:eastAsia="Times New Roman" w:hAnsi="Times New Roman" w:cs="Times New Roman"/>
        </w:rPr>
        <w:t>loperamide</w:t>
      </w:r>
      <w:proofErr w:type="spellEnd"/>
      <w:r>
        <w:rPr>
          <w:rFonts w:ascii="Times New Roman" w:eastAsia="Times New Roman" w:hAnsi="Times New Roman" w:cs="Times New Roman"/>
        </w:rPr>
        <w:t xml:space="preserve"> and other agents (budesonide, </w:t>
      </w:r>
      <w:proofErr w:type="spellStart"/>
      <w:r>
        <w:rPr>
          <w:rFonts w:ascii="Times New Roman" w:eastAsia="Times New Roman" w:hAnsi="Times New Roman" w:cs="Times New Roman"/>
        </w:rPr>
        <w:t>colestipol</w:t>
      </w:r>
      <w:proofErr w:type="spellEnd"/>
      <w:r>
        <w:rPr>
          <w:rFonts w:ascii="Times New Roman" w:eastAsia="Times New Roman" w:hAnsi="Times New Roman" w:cs="Times New Roman"/>
        </w:rPr>
        <w:t>)</w:t>
      </w:r>
      <w:r w:rsidRPr="00245C76">
        <w:rPr>
          <w:rFonts w:ascii="Times New Roman" w:eastAsia="Times New Roman" w:hAnsi="Times New Roman" w:cs="Times New Roman"/>
          <w:lang w:val="en-GB"/>
        </w:rPr>
        <w:t xml:space="preserve">; (ii) </w:t>
      </w:r>
      <w:r>
        <w:rPr>
          <w:rFonts w:ascii="Times New Roman" w:eastAsia="Times New Roman" w:hAnsi="Times New Roman" w:cs="Times New Roman"/>
          <w:lang w:val="en-GB"/>
        </w:rPr>
        <w:t>r</w:t>
      </w:r>
      <w:r w:rsidRPr="0084609F">
        <w:rPr>
          <w:rFonts w:ascii="Times New Roman" w:eastAsia="Times New Roman" w:hAnsi="Times New Roman" w:cs="Times New Roman"/>
          <w:lang w:val="en-GB"/>
        </w:rPr>
        <w:t>eport</w:t>
      </w:r>
      <w:r>
        <w:rPr>
          <w:rFonts w:ascii="Times New Roman" w:eastAsia="Times New Roman" w:hAnsi="Times New Roman" w:cs="Times New Roman"/>
          <w:lang w:val="en-GB"/>
        </w:rPr>
        <w:t>ing i</w:t>
      </w:r>
      <w:r w:rsidRPr="0084609F">
        <w:rPr>
          <w:rFonts w:ascii="Times New Roman" w:eastAsia="Times New Roman" w:hAnsi="Times New Roman" w:cs="Times New Roman"/>
          <w:lang w:val="en-GB"/>
        </w:rPr>
        <w:t>nterim Phase I/II data</w:t>
      </w:r>
      <w:r>
        <w:rPr>
          <w:rFonts w:ascii="Times New Roman" w:eastAsia="Times New Roman" w:hAnsi="Times New Roman" w:cs="Times New Roman"/>
          <w:lang w:val="en-GB"/>
        </w:rPr>
        <w:t xml:space="preserve"> in the second quarter of 2017</w:t>
      </w:r>
      <w:r w:rsidRPr="0084609F">
        <w:rPr>
          <w:rFonts w:ascii="Times New Roman" w:eastAsia="Times New Roman" w:hAnsi="Times New Roman" w:cs="Times New Roman"/>
          <w:lang w:val="en-GB"/>
        </w:rPr>
        <w:t xml:space="preserve"> from </w:t>
      </w:r>
      <w:r>
        <w:rPr>
          <w:rFonts w:ascii="Times New Roman" w:eastAsia="Times New Roman" w:hAnsi="Times New Roman" w:cs="Times New Roman"/>
          <w:lang w:val="en-GB"/>
        </w:rPr>
        <w:t xml:space="preserve">the NSABP FB-10 trial of </w:t>
      </w:r>
      <w:r w:rsidRPr="0084609F">
        <w:rPr>
          <w:rFonts w:ascii="Times New Roman" w:eastAsia="Times New Roman" w:hAnsi="Times New Roman" w:cs="Times New Roman"/>
          <w:lang w:val="en-GB"/>
        </w:rPr>
        <w:t xml:space="preserve">neratinib plus </w:t>
      </w:r>
      <w:proofErr w:type="spellStart"/>
      <w:r w:rsidRPr="0084609F">
        <w:rPr>
          <w:rFonts w:ascii="Times New Roman" w:eastAsia="Times New Roman" w:hAnsi="Times New Roman" w:cs="Times New Roman"/>
          <w:lang w:val="en-GB"/>
        </w:rPr>
        <w:t>Kadcyla</w:t>
      </w:r>
      <w:proofErr w:type="spellEnd"/>
      <w:r w:rsidRPr="0084609F">
        <w:rPr>
          <w:rFonts w:ascii="Times New Roman" w:eastAsia="Times New Roman" w:hAnsi="Times New Roman" w:cs="Times New Roman"/>
          <w:lang w:val="en-GB"/>
        </w:rPr>
        <w:t xml:space="preserve"> (T-DM1) in HER2-positive metastatic breast cancer</w:t>
      </w:r>
      <w:r>
        <w:rPr>
          <w:rFonts w:ascii="Times New Roman" w:eastAsia="Times New Roman" w:hAnsi="Times New Roman" w:cs="Times New Roman"/>
          <w:lang w:val="en-GB"/>
        </w:rPr>
        <w:t xml:space="preserve"> (MBC)</w:t>
      </w:r>
      <w:r w:rsidRPr="00245C76">
        <w:rPr>
          <w:rFonts w:ascii="Times New Roman" w:eastAsia="Times New Roman" w:hAnsi="Times New Roman" w:cs="Times New Roman"/>
          <w:lang w:val="en-GB"/>
        </w:rPr>
        <w:t>; (iii)</w:t>
      </w:r>
      <w:r>
        <w:rPr>
          <w:rFonts w:ascii="Times New Roman" w:eastAsia="Times New Roman" w:hAnsi="Times New Roman" w:cs="Times New Roman"/>
          <w:lang w:val="en-GB"/>
        </w:rPr>
        <w:t xml:space="preserve"> r</w:t>
      </w:r>
      <w:r w:rsidRPr="0084609F">
        <w:rPr>
          <w:rFonts w:ascii="Times New Roman" w:eastAsia="Times New Roman" w:hAnsi="Times New Roman" w:cs="Times New Roman"/>
          <w:lang w:val="en-GB"/>
        </w:rPr>
        <w:t>eport</w:t>
      </w:r>
      <w:r>
        <w:rPr>
          <w:rFonts w:ascii="Times New Roman" w:eastAsia="Times New Roman" w:hAnsi="Times New Roman" w:cs="Times New Roman"/>
          <w:lang w:val="en-GB"/>
        </w:rPr>
        <w:t>ing</w:t>
      </w:r>
      <w:r w:rsidRPr="0084609F">
        <w:rPr>
          <w:rFonts w:ascii="Times New Roman" w:eastAsia="Times New Roman" w:hAnsi="Times New Roman" w:cs="Times New Roman"/>
          <w:lang w:val="en-GB"/>
        </w:rPr>
        <w:t xml:space="preserve"> data</w:t>
      </w:r>
      <w:r>
        <w:rPr>
          <w:rFonts w:ascii="Times New Roman" w:eastAsia="Times New Roman" w:hAnsi="Times New Roman" w:cs="Times New Roman"/>
          <w:lang w:val="en-GB"/>
        </w:rPr>
        <w:t xml:space="preserve"> in the second quarter of 2017</w:t>
      </w:r>
      <w:r w:rsidRPr="0084609F">
        <w:rPr>
          <w:rFonts w:ascii="Times New Roman" w:eastAsia="Times New Roman" w:hAnsi="Times New Roman" w:cs="Times New Roman"/>
          <w:lang w:val="en-GB"/>
        </w:rPr>
        <w:t xml:space="preserve"> from </w:t>
      </w:r>
      <w:r>
        <w:rPr>
          <w:rFonts w:ascii="Times New Roman" w:eastAsia="Times New Roman" w:hAnsi="Times New Roman" w:cs="Times New Roman"/>
          <w:lang w:val="en-GB"/>
        </w:rPr>
        <w:t xml:space="preserve">the </w:t>
      </w:r>
      <w:r w:rsidRPr="0084609F">
        <w:rPr>
          <w:rFonts w:ascii="Times New Roman" w:eastAsia="Times New Roman" w:hAnsi="Times New Roman" w:cs="Times New Roman"/>
          <w:lang w:val="en-GB"/>
        </w:rPr>
        <w:t xml:space="preserve">Phase II SUMMIT basket trial of neratinib in </w:t>
      </w:r>
      <w:r w:rsidRPr="0084609F">
        <w:rPr>
          <w:rFonts w:ascii="Times New Roman" w:eastAsia="Times New Roman" w:hAnsi="Times New Roman" w:cs="Times New Roman"/>
          <w:lang w:val="en-GB"/>
        </w:rPr>
        <w:lastRenderedPageBreak/>
        <w:t xml:space="preserve">patients with </w:t>
      </w:r>
      <w:r>
        <w:rPr>
          <w:rFonts w:ascii="Times New Roman" w:eastAsia="Times New Roman" w:hAnsi="Times New Roman" w:cs="Times New Roman"/>
          <w:lang w:val="en-GB"/>
        </w:rPr>
        <w:t xml:space="preserve">HER2 non-amplified solid </w:t>
      </w:r>
      <w:proofErr w:type="spellStart"/>
      <w:r>
        <w:rPr>
          <w:rFonts w:ascii="Times New Roman" w:eastAsia="Times New Roman" w:hAnsi="Times New Roman" w:cs="Times New Roman"/>
          <w:lang w:val="en-GB"/>
        </w:rPr>
        <w:t>tumors</w:t>
      </w:r>
      <w:proofErr w:type="spellEnd"/>
      <w:r>
        <w:rPr>
          <w:rFonts w:ascii="Times New Roman" w:eastAsia="Times New Roman" w:hAnsi="Times New Roman" w:cs="Times New Roman"/>
          <w:lang w:val="en-GB"/>
        </w:rPr>
        <w:t xml:space="preserve"> that have a </w:t>
      </w:r>
      <w:r w:rsidRPr="0084609F">
        <w:rPr>
          <w:rFonts w:ascii="Times New Roman" w:eastAsia="Times New Roman" w:hAnsi="Times New Roman" w:cs="Times New Roman"/>
          <w:lang w:val="en-GB"/>
        </w:rPr>
        <w:t>HER2 mutation</w:t>
      </w:r>
      <w:r w:rsidRPr="00245C76">
        <w:rPr>
          <w:rFonts w:ascii="Times New Roman" w:eastAsia="Times New Roman" w:hAnsi="Times New Roman" w:cs="Times New Roman"/>
          <w:lang w:val="en-GB"/>
        </w:rPr>
        <w:t>; (iv)</w:t>
      </w:r>
      <w:r>
        <w:rPr>
          <w:rFonts w:ascii="Times New Roman" w:eastAsia="Times New Roman" w:hAnsi="Times New Roman" w:cs="Times New Roman"/>
          <w:lang w:val="en-GB"/>
        </w:rPr>
        <w:t xml:space="preserve"> r</w:t>
      </w:r>
      <w:r w:rsidRPr="0084609F">
        <w:rPr>
          <w:rFonts w:ascii="Times New Roman" w:eastAsia="Times New Roman" w:hAnsi="Times New Roman" w:cs="Times New Roman"/>
          <w:lang w:val="en-GB"/>
        </w:rPr>
        <w:t>eport</w:t>
      </w:r>
      <w:r>
        <w:rPr>
          <w:rFonts w:ascii="Times New Roman" w:eastAsia="Times New Roman" w:hAnsi="Times New Roman" w:cs="Times New Roman"/>
          <w:lang w:val="en-GB"/>
        </w:rPr>
        <w:t>ing</w:t>
      </w:r>
      <w:r w:rsidRPr="0084609F">
        <w:rPr>
          <w:rFonts w:ascii="Times New Roman" w:eastAsia="Times New Roman" w:hAnsi="Times New Roman" w:cs="Times New Roman"/>
          <w:lang w:val="en-GB"/>
        </w:rPr>
        <w:t xml:space="preserve"> </w:t>
      </w:r>
      <w:r>
        <w:rPr>
          <w:rFonts w:ascii="Times New Roman" w:eastAsia="Times New Roman" w:hAnsi="Times New Roman" w:cs="Times New Roman"/>
          <w:lang w:val="en-GB"/>
        </w:rPr>
        <w:t xml:space="preserve">data from the </w:t>
      </w:r>
      <w:r w:rsidRPr="0084609F">
        <w:rPr>
          <w:rFonts w:ascii="Times New Roman" w:eastAsia="Times New Roman" w:hAnsi="Times New Roman" w:cs="Times New Roman"/>
          <w:lang w:val="en-GB"/>
        </w:rPr>
        <w:t xml:space="preserve">Phase III trial in third-line </w:t>
      </w:r>
      <w:r>
        <w:rPr>
          <w:rFonts w:ascii="Times New Roman" w:eastAsia="Times New Roman" w:hAnsi="Times New Roman" w:cs="Times New Roman"/>
          <w:lang w:val="en-GB"/>
        </w:rPr>
        <w:t xml:space="preserve">HER2-positive </w:t>
      </w:r>
      <w:r w:rsidRPr="0084609F">
        <w:rPr>
          <w:rFonts w:ascii="Times New Roman" w:eastAsia="Times New Roman" w:hAnsi="Times New Roman" w:cs="Times New Roman"/>
          <w:lang w:val="en-GB"/>
        </w:rPr>
        <w:t>MBC patients</w:t>
      </w:r>
      <w:r>
        <w:rPr>
          <w:rFonts w:ascii="Times New Roman" w:eastAsia="Times New Roman" w:hAnsi="Times New Roman" w:cs="Times New Roman"/>
          <w:lang w:val="en-GB"/>
        </w:rPr>
        <w:t xml:space="preserve"> in the first half of 2017; </w:t>
      </w:r>
      <w:r w:rsidRPr="00245C76">
        <w:rPr>
          <w:rFonts w:ascii="Times New Roman" w:eastAsia="Times New Roman" w:hAnsi="Times New Roman" w:cs="Times New Roman"/>
          <w:lang w:val="en-GB"/>
        </w:rPr>
        <w:t xml:space="preserve">(v) </w:t>
      </w:r>
      <w:r>
        <w:rPr>
          <w:rFonts w:ascii="Times New Roman" w:eastAsia="Times New Roman" w:hAnsi="Times New Roman" w:cs="Times New Roman"/>
          <w:lang w:val="en-GB"/>
        </w:rPr>
        <w:t>r</w:t>
      </w:r>
      <w:r w:rsidRPr="0084609F">
        <w:rPr>
          <w:rFonts w:ascii="Times New Roman" w:eastAsia="Times New Roman" w:hAnsi="Times New Roman" w:cs="Times New Roman"/>
          <w:lang w:val="en-GB"/>
        </w:rPr>
        <w:t>eport</w:t>
      </w:r>
      <w:r>
        <w:rPr>
          <w:rFonts w:ascii="Times New Roman" w:eastAsia="Times New Roman" w:hAnsi="Times New Roman" w:cs="Times New Roman"/>
          <w:lang w:val="en-GB"/>
        </w:rPr>
        <w:t xml:space="preserve">ing data in the second quarter of 2017 from the TBCRC-022 </w:t>
      </w:r>
      <w:r w:rsidRPr="0084609F">
        <w:rPr>
          <w:rFonts w:ascii="Times New Roman" w:eastAsia="Times New Roman" w:hAnsi="Times New Roman" w:cs="Times New Roman"/>
          <w:lang w:val="en-GB"/>
        </w:rPr>
        <w:t xml:space="preserve">Phase II trial </w:t>
      </w:r>
      <w:r>
        <w:rPr>
          <w:rFonts w:ascii="Times New Roman" w:eastAsia="Times New Roman" w:hAnsi="Times New Roman" w:cs="Times New Roman"/>
          <w:lang w:val="en-GB"/>
        </w:rPr>
        <w:t xml:space="preserve">of neratinib plus </w:t>
      </w:r>
      <w:proofErr w:type="spellStart"/>
      <w:r>
        <w:rPr>
          <w:rFonts w:ascii="Times New Roman" w:eastAsia="Times New Roman" w:hAnsi="Times New Roman" w:cs="Times New Roman"/>
          <w:lang w:val="en-GB"/>
        </w:rPr>
        <w:t>capecitabine</w:t>
      </w:r>
      <w:proofErr w:type="spellEnd"/>
      <w:r>
        <w:rPr>
          <w:rFonts w:ascii="Times New Roman" w:eastAsia="Times New Roman" w:hAnsi="Times New Roman" w:cs="Times New Roman"/>
          <w:lang w:val="en-GB"/>
        </w:rPr>
        <w:t xml:space="preserve"> </w:t>
      </w:r>
      <w:r w:rsidRPr="0084609F">
        <w:rPr>
          <w:rFonts w:ascii="Times New Roman" w:eastAsia="Times New Roman" w:hAnsi="Times New Roman" w:cs="Times New Roman"/>
          <w:lang w:val="en-GB"/>
        </w:rPr>
        <w:t xml:space="preserve">in </w:t>
      </w:r>
      <w:r>
        <w:rPr>
          <w:rFonts w:ascii="Times New Roman" w:eastAsia="Times New Roman" w:hAnsi="Times New Roman" w:cs="Times New Roman"/>
          <w:lang w:val="en-GB"/>
        </w:rPr>
        <w:t xml:space="preserve">HER2-positive </w:t>
      </w:r>
      <w:r w:rsidRPr="0084609F">
        <w:rPr>
          <w:rFonts w:ascii="Times New Roman" w:eastAsia="Times New Roman" w:hAnsi="Times New Roman" w:cs="Times New Roman"/>
          <w:lang w:val="en-GB"/>
        </w:rPr>
        <w:t>MBC patients with brain metastases</w:t>
      </w:r>
      <w:r>
        <w:rPr>
          <w:rFonts w:ascii="Times New Roman" w:eastAsia="Times New Roman" w:hAnsi="Times New Roman" w:cs="Times New Roman"/>
          <w:lang w:val="en-GB"/>
        </w:rPr>
        <w:t xml:space="preserve">; </w:t>
      </w:r>
      <w:r w:rsidRPr="00245C76">
        <w:rPr>
          <w:rFonts w:ascii="Times New Roman" w:eastAsia="Times New Roman" w:hAnsi="Times New Roman" w:cs="Times New Roman"/>
          <w:lang w:val="en-GB"/>
        </w:rPr>
        <w:t>(v</w:t>
      </w:r>
      <w:r>
        <w:rPr>
          <w:rFonts w:ascii="Times New Roman" w:eastAsia="Times New Roman" w:hAnsi="Times New Roman" w:cs="Times New Roman"/>
          <w:lang w:val="en-GB"/>
        </w:rPr>
        <w:t>i</w:t>
      </w:r>
      <w:r w:rsidRPr="00245C76">
        <w:rPr>
          <w:rFonts w:ascii="Times New Roman" w:eastAsia="Times New Roman" w:hAnsi="Times New Roman" w:cs="Times New Roman"/>
          <w:lang w:val="en-GB"/>
        </w:rPr>
        <w:t>)</w:t>
      </w:r>
      <w:r>
        <w:rPr>
          <w:rFonts w:ascii="Times New Roman" w:eastAsia="Times New Roman" w:hAnsi="Times New Roman" w:cs="Times New Roman"/>
          <w:lang w:val="en-GB"/>
        </w:rPr>
        <w:t xml:space="preserve"> r</w:t>
      </w:r>
      <w:r w:rsidRPr="002A28CE">
        <w:rPr>
          <w:rFonts w:ascii="Times New Roman" w:eastAsia="Times New Roman" w:hAnsi="Times New Roman" w:cs="Times New Roman"/>
          <w:lang w:val="en-GB"/>
        </w:rPr>
        <w:t>eport</w:t>
      </w:r>
      <w:r>
        <w:rPr>
          <w:rFonts w:ascii="Times New Roman" w:eastAsia="Times New Roman" w:hAnsi="Times New Roman" w:cs="Times New Roman"/>
          <w:lang w:val="en-GB"/>
        </w:rPr>
        <w:t>ing</w:t>
      </w:r>
      <w:r w:rsidRPr="002A28CE">
        <w:rPr>
          <w:rFonts w:ascii="Times New Roman" w:eastAsia="Times New Roman" w:hAnsi="Times New Roman" w:cs="Times New Roman"/>
          <w:lang w:val="en-GB"/>
        </w:rPr>
        <w:t xml:space="preserve"> Phase II data </w:t>
      </w:r>
      <w:r>
        <w:rPr>
          <w:rFonts w:ascii="Times New Roman" w:eastAsia="Times New Roman" w:hAnsi="Times New Roman" w:cs="Times New Roman"/>
          <w:lang w:val="en-GB"/>
        </w:rPr>
        <w:t xml:space="preserve">in the second quarter of 2017 </w:t>
      </w:r>
      <w:r w:rsidRPr="002A28CE">
        <w:rPr>
          <w:rFonts w:ascii="Times New Roman" w:eastAsia="Times New Roman" w:hAnsi="Times New Roman" w:cs="Times New Roman"/>
          <w:lang w:val="en-GB"/>
        </w:rPr>
        <w:t xml:space="preserve">from </w:t>
      </w:r>
      <w:r>
        <w:rPr>
          <w:rFonts w:ascii="Times New Roman" w:eastAsia="Times New Roman" w:hAnsi="Times New Roman" w:cs="Times New Roman"/>
          <w:lang w:val="en-GB"/>
        </w:rPr>
        <w:t xml:space="preserve">the </w:t>
      </w:r>
      <w:r w:rsidRPr="002A28CE">
        <w:rPr>
          <w:rFonts w:ascii="Times New Roman" w:eastAsia="Times New Roman" w:hAnsi="Times New Roman" w:cs="Times New Roman"/>
          <w:lang w:val="en-GB"/>
        </w:rPr>
        <w:t>SUMMIT basket trial of neratinib in HER2</w:t>
      </w:r>
      <w:r w:rsidR="006C79A5">
        <w:rPr>
          <w:rFonts w:ascii="Times New Roman" w:eastAsia="Times New Roman" w:hAnsi="Times New Roman" w:cs="Times New Roman"/>
          <w:lang w:val="en-GB"/>
        </w:rPr>
        <w:t>-</w:t>
      </w:r>
      <w:r w:rsidRPr="002A28CE">
        <w:rPr>
          <w:rFonts w:ascii="Times New Roman" w:eastAsia="Times New Roman" w:hAnsi="Times New Roman" w:cs="Times New Roman"/>
          <w:lang w:val="en-GB"/>
        </w:rPr>
        <w:t>negative breast cancer patients with HER2 mutations</w:t>
      </w:r>
      <w:r>
        <w:rPr>
          <w:rFonts w:ascii="Times New Roman" w:eastAsia="Times New Roman" w:hAnsi="Times New Roman" w:cs="Times New Roman"/>
          <w:lang w:val="en-GB"/>
        </w:rPr>
        <w:t xml:space="preserve">; </w:t>
      </w:r>
      <w:r w:rsidRPr="00245C76">
        <w:rPr>
          <w:rFonts w:ascii="Times New Roman" w:eastAsia="Times New Roman" w:hAnsi="Times New Roman" w:cs="Times New Roman"/>
          <w:lang w:val="en-GB"/>
        </w:rPr>
        <w:t>(v</w:t>
      </w:r>
      <w:r>
        <w:rPr>
          <w:rFonts w:ascii="Times New Roman" w:eastAsia="Times New Roman" w:hAnsi="Times New Roman" w:cs="Times New Roman"/>
          <w:lang w:val="en-GB"/>
        </w:rPr>
        <w:t>ii</w:t>
      </w:r>
      <w:r w:rsidRPr="00245C76">
        <w:rPr>
          <w:rFonts w:ascii="Times New Roman" w:eastAsia="Times New Roman" w:hAnsi="Times New Roman" w:cs="Times New Roman"/>
          <w:lang w:val="en-GB"/>
        </w:rPr>
        <w:t>)</w:t>
      </w:r>
      <w:r>
        <w:rPr>
          <w:rFonts w:ascii="Times New Roman" w:eastAsia="Times New Roman" w:hAnsi="Times New Roman" w:cs="Times New Roman"/>
          <w:lang w:val="en-GB"/>
        </w:rPr>
        <w:t xml:space="preserve"> r</w:t>
      </w:r>
      <w:r w:rsidRPr="002A28CE">
        <w:rPr>
          <w:rFonts w:ascii="Times New Roman" w:eastAsia="Times New Roman" w:hAnsi="Times New Roman" w:cs="Times New Roman"/>
          <w:lang w:val="en-GB"/>
        </w:rPr>
        <w:t>eport</w:t>
      </w:r>
      <w:r>
        <w:rPr>
          <w:rFonts w:ascii="Times New Roman" w:eastAsia="Times New Roman" w:hAnsi="Times New Roman" w:cs="Times New Roman"/>
          <w:lang w:val="en-GB"/>
        </w:rPr>
        <w:t>ing</w:t>
      </w:r>
      <w:r w:rsidRPr="002A28CE">
        <w:rPr>
          <w:rFonts w:ascii="Times New Roman" w:eastAsia="Times New Roman" w:hAnsi="Times New Roman" w:cs="Times New Roman"/>
          <w:lang w:val="en-GB"/>
        </w:rPr>
        <w:t xml:space="preserve"> final 5-year</w:t>
      </w:r>
      <w:r>
        <w:rPr>
          <w:rFonts w:ascii="Times New Roman" w:eastAsia="Times New Roman" w:hAnsi="Times New Roman" w:cs="Times New Roman"/>
          <w:lang w:val="en-GB"/>
        </w:rPr>
        <w:t xml:space="preserve"> disease free survival</w:t>
      </w:r>
      <w:r w:rsidRPr="002A28CE">
        <w:rPr>
          <w:rFonts w:ascii="Times New Roman" w:eastAsia="Times New Roman" w:hAnsi="Times New Roman" w:cs="Times New Roman"/>
          <w:lang w:val="en-GB"/>
        </w:rPr>
        <w:t xml:space="preserve"> </w:t>
      </w:r>
      <w:r>
        <w:rPr>
          <w:rFonts w:ascii="Times New Roman" w:eastAsia="Times New Roman" w:hAnsi="Times New Roman" w:cs="Times New Roman"/>
          <w:lang w:val="en-GB"/>
        </w:rPr>
        <w:t>(</w:t>
      </w:r>
      <w:r w:rsidRPr="002A28CE">
        <w:rPr>
          <w:rFonts w:ascii="Times New Roman" w:eastAsia="Times New Roman" w:hAnsi="Times New Roman" w:cs="Times New Roman"/>
          <w:lang w:val="en-GB"/>
        </w:rPr>
        <w:t>DFS</w:t>
      </w:r>
      <w:r>
        <w:rPr>
          <w:rFonts w:ascii="Times New Roman" w:eastAsia="Times New Roman" w:hAnsi="Times New Roman" w:cs="Times New Roman"/>
          <w:lang w:val="en-GB"/>
        </w:rPr>
        <w:t>)</w:t>
      </w:r>
      <w:r w:rsidRPr="002A28CE">
        <w:rPr>
          <w:rFonts w:ascii="Times New Roman" w:eastAsia="Times New Roman" w:hAnsi="Times New Roman" w:cs="Times New Roman"/>
          <w:lang w:val="en-GB"/>
        </w:rPr>
        <w:t xml:space="preserve"> data </w:t>
      </w:r>
      <w:r>
        <w:rPr>
          <w:rFonts w:ascii="Times New Roman" w:eastAsia="Times New Roman" w:hAnsi="Times New Roman" w:cs="Times New Roman"/>
          <w:lang w:val="en-GB"/>
        </w:rPr>
        <w:t xml:space="preserve">during the second half of 2017 </w:t>
      </w:r>
      <w:r w:rsidRPr="002A28CE">
        <w:rPr>
          <w:rFonts w:ascii="Times New Roman" w:eastAsia="Times New Roman" w:hAnsi="Times New Roman" w:cs="Times New Roman"/>
          <w:lang w:val="en-GB"/>
        </w:rPr>
        <w:t xml:space="preserve">from </w:t>
      </w:r>
      <w:r>
        <w:rPr>
          <w:rFonts w:ascii="Times New Roman" w:eastAsia="Times New Roman" w:hAnsi="Times New Roman" w:cs="Times New Roman"/>
          <w:lang w:val="en-GB"/>
        </w:rPr>
        <w:t xml:space="preserve">the </w:t>
      </w:r>
      <w:proofErr w:type="spellStart"/>
      <w:r w:rsidRPr="002A28CE">
        <w:rPr>
          <w:rFonts w:ascii="Times New Roman" w:eastAsia="Times New Roman" w:hAnsi="Times New Roman" w:cs="Times New Roman"/>
          <w:lang w:val="en-GB"/>
        </w:rPr>
        <w:t>ExteNET</w:t>
      </w:r>
      <w:proofErr w:type="spellEnd"/>
      <w:r>
        <w:rPr>
          <w:rFonts w:ascii="Times New Roman" w:eastAsia="Times New Roman" w:hAnsi="Times New Roman" w:cs="Times New Roman"/>
          <w:lang w:val="en-GB"/>
        </w:rPr>
        <w:t xml:space="preserve"> Phase III trial </w:t>
      </w:r>
      <w:r w:rsidRPr="00AC7113">
        <w:rPr>
          <w:rFonts w:ascii="Times New Roman" w:eastAsia="Times New Roman" w:hAnsi="Times New Roman" w:cs="Times New Roman"/>
        </w:rPr>
        <w:t> of neratinib as an extended adjuvant treatment in HER2-pos</w:t>
      </w:r>
      <w:r>
        <w:rPr>
          <w:rFonts w:ascii="Times New Roman" w:eastAsia="Times New Roman" w:hAnsi="Times New Roman" w:cs="Times New Roman"/>
        </w:rPr>
        <w:t>itive early stage breast cancer</w:t>
      </w:r>
      <w:r>
        <w:rPr>
          <w:rFonts w:ascii="Times New Roman" w:eastAsia="Times New Roman" w:hAnsi="Times New Roman" w:cs="Times New Roman"/>
          <w:lang w:val="en-GB"/>
        </w:rPr>
        <w:t xml:space="preserve">; and </w:t>
      </w:r>
      <w:r w:rsidRPr="00245C76">
        <w:rPr>
          <w:rFonts w:ascii="Times New Roman" w:eastAsia="Times New Roman" w:hAnsi="Times New Roman" w:cs="Times New Roman"/>
          <w:lang w:val="en-GB"/>
        </w:rPr>
        <w:t>(v</w:t>
      </w:r>
      <w:r>
        <w:rPr>
          <w:rFonts w:ascii="Times New Roman" w:eastAsia="Times New Roman" w:hAnsi="Times New Roman" w:cs="Times New Roman"/>
          <w:lang w:val="en-GB"/>
        </w:rPr>
        <w:t>iii</w:t>
      </w:r>
      <w:r w:rsidRPr="00245C76">
        <w:rPr>
          <w:rFonts w:ascii="Times New Roman" w:eastAsia="Times New Roman" w:hAnsi="Times New Roman" w:cs="Times New Roman"/>
          <w:lang w:val="en-GB"/>
        </w:rPr>
        <w:t>)</w:t>
      </w:r>
      <w:r>
        <w:rPr>
          <w:rFonts w:ascii="Times New Roman" w:eastAsia="Times New Roman" w:hAnsi="Times New Roman" w:cs="Times New Roman"/>
          <w:lang w:val="en-GB"/>
        </w:rPr>
        <w:t xml:space="preserve"> announcing r</w:t>
      </w:r>
      <w:r w:rsidRPr="002A28CE">
        <w:rPr>
          <w:rFonts w:ascii="Times New Roman" w:eastAsia="Times New Roman" w:hAnsi="Times New Roman" w:cs="Times New Roman"/>
          <w:lang w:val="en-GB"/>
        </w:rPr>
        <w:t>egulatory decision</w:t>
      </w:r>
      <w:r>
        <w:rPr>
          <w:rFonts w:ascii="Times New Roman" w:eastAsia="Times New Roman" w:hAnsi="Times New Roman" w:cs="Times New Roman"/>
          <w:lang w:val="en-GB"/>
        </w:rPr>
        <w:t>s</w:t>
      </w:r>
      <w:r w:rsidRPr="002A28CE">
        <w:rPr>
          <w:rFonts w:ascii="Times New Roman" w:eastAsia="Times New Roman" w:hAnsi="Times New Roman" w:cs="Times New Roman"/>
          <w:lang w:val="en-GB"/>
        </w:rPr>
        <w:t xml:space="preserve"> in </w:t>
      </w:r>
      <w:r>
        <w:rPr>
          <w:rFonts w:ascii="Times New Roman" w:eastAsia="Times New Roman" w:hAnsi="Times New Roman" w:cs="Times New Roman"/>
          <w:lang w:val="en-GB"/>
        </w:rPr>
        <w:t xml:space="preserve">the </w:t>
      </w:r>
      <w:r w:rsidRPr="002A28CE">
        <w:rPr>
          <w:rFonts w:ascii="Times New Roman" w:eastAsia="Times New Roman" w:hAnsi="Times New Roman" w:cs="Times New Roman"/>
          <w:lang w:val="en-GB"/>
        </w:rPr>
        <w:t>U</w:t>
      </w:r>
      <w:r>
        <w:rPr>
          <w:rFonts w:ascii="Times New Roman" w:eastAsia="Times New Roman" w:hAnsi="Times New Roman" w:cs="Times New Roman"/>
          <w:lang w:val="en-GB"/>
        </w:rPr>
        <w:t xml:space="preserve">nited States and </w:t>
      </w:r>
      <w:r w:rsidRPr="002A28CE">
        <w:rPr>
          <w:rFonts w:ascii="Times New Roman" w:eastAsia="Times New Roman" w:hAnsi="Times New Roman" w:cs="Times New Roman"/>
          <w:lang w:val="en-GB"/>
        </w:rPr>
        <w:t>E</w:t>
      </w:r>
      <w:r>
        <w:rPr>
          <w:rFonts w:ascii="Times New Roman" w:eastAsia="Times New Roman" w:hAnsi="Times New Roman" w:cs="Times New Roman"/>
          <w:lang w:val="en-GB"/>
        </w:rPr>
        <w:t>uropean Union</w:t>
      </w:r>
      <w:r w:rsidRPr="002A28CE">
        <w:rPr>
          <w:rFonts w:ascii="Times New Roman" w:eastAsia="Times New Roman" w:hAnsi="Times New Roman" w:cs="Times New Roman"/>
          <w:lang w:val="en-GB"/>
        </w:rPr>
        <w:t xml:space="preserve"> on neratinib</w:t>
      </w:r>
      <w:r>
        <w:rPr>
          <w:rFonts w:ascii="Times New Roman" w:eastAsia="Times New Roman" w:hAnsi="Times New Roman" w:cs="Times New Roman"/>
          <w:lang w:val="en-GB"/>
        </w:rPr>
        <w:t xml:space="preserve"> for the</w:t>
      </w:r>
      <w:r w:rsidRPr="002A28CE">
        <w:rPr>
          <w:rFonts w:ascii="Times New Roman" w:eastAsia="Times New Roman" w:hAnsi="Times New Roman" w:cs="Times New Roman"/>
          <w:lang w:val="en-GB"/>
        </w:rPr>
        <w:t xml:space="preserve"> extended adjuvant</w:t>
      </w:r>
      <w:r>
        <w:rPr>
          <w:rFonts w:ascii="Times New Roman" w:eastAsia="Times New Roman" w:hAnsi="Times New Roman" w:cs="Times New Roman"/>
          <w:lang w:val="en-GB"/>
        </w:rPr>
        <w:t xml:space="preserve"> treatment of patients with</w:t>
      </w:r>
      <w:r w:rsidRPr="002A28CE">
        <w:rPr>
          <w:rFonts w:ascii="Times New Roman" w:eastAsia="Times New Roman" w:hAnsi="Times New Roman" w:cs="Times New Roman"/>
          <w:lang w:val="en-GB"/>
        </w:rPr>
        <w:t xml:space="preserve"> HER2</w:t>
      </w:r>
      <w:r>
        <w:rPr>
          <w:rFonts w:ascii="Times New Roman" w:eastAsia="Times New Roman" w:hAnsi="Times New Roman" w:cs="Times New Roman"/>
          <w:lang w:val="en-GB"/>
        </w:rPr>
        <w:t>-</w:t>
      </w:r>
      <w:r w:rsidRPr="002A28CE">
        <w:rPr>
          <w:rFonts w:ascii="Times New Roman" w:eastAsia="Times New Roman" w:hAnsi="Times New Roman" w:cs="Times New Roman"/>
          <w:lang w:val="en-GB"/>
        </w:rPr>
        <w:t>positive early stage breast cancer</w:t>
      </w:r>
      <w:r>
        <w:rPr>
          <w:rFonts w:ascii="Times New Roman" w:eastAsia="Times New Roman" w:hAnsi="Times New Roman" w:cs="Times New Roman"/>
          <w:lang w:val="en-GB"/>
        </w:rPr>
        <w:t xml:space="preserve"> in the third quarter of 2017.”</w:t>
      </w:r>
    </w:p>
    <w:p w:rsidR="00667FD2" w:rsidRPr="00245C76" w:rsidRDefault="00F376BA" w:rsidP="00667FD2">
      <w:pPr>
        <w:autoSpaceDE/>
        <w:autoSpaceDN/>
        <w:adjustRightInd/>
        <w:spacing w:after="0" w:line="230" w:lineRule="auto"/>
        <w:ind w:right="53"/>
        <w:jc w:val="both"/>
        <w:rPr>
          <w:rFonts w:ascii="Times New Roman" w:hAnsi="Times New Roman" w:cs="Times New Roman"/>
        </w:rPr>
      </w:pPr>
    </w:p>
    <w:p w:rsidR="00B2198E" w:rsidRPr="00245C76" w:rsidRDefault="00131273" w:rsidP="00667FD2">
      <w:pPr>
        <w:autoSpaceDE/>
        <w:autoSpaceDN/>
        <w:adjustRightInd/>
        <w:spacing w:after="0" w:line="230" w:lineRule="auto"/>
        <w:ind w:right="53"/>
        <w:jc w:val="both"/>
        <w:rPr>
          <w:rFonts w:ascii="Times New Roman" w:eastAsia="Times New Roman" w:hAnsi="Times New Roman" w:cs="Times New Roman"/>
          <w:b/>
          <w:lang w:val="en-GB"/>
        </w:rPr>
      </w:pPr>
      <w:r w:rsidRPr="00245C76">
        <w:rPr>
          <w:rFonts w:ascii="Times New Roman" w:eastAsia="Times New Roman" w:hAnsi="Times New Roman" w:cs="Times New Roman"/>
          <w:b/>
          <w:lang w:val="en-GB"/>
        </w:rPr>
        <w:t xml:space="preserve">Operating Expenses </w:t>
      </w:r>
    </w:p>
    <w:p w:rsidR="00B2198E" w:rsidRPr="00245C76" w:rsidRDefault="00F376BA" w:rsidP="00B2198E">
      <w:pPr>
        <w:widowControl/>
        <w:autoSpaceDE/>
        <w:autoSpaceDN/>
        <w:adjustRightInd/>
        <w:spacing w:after="0" w:line="240" w:lineRule="auto"/>
        <w:rPr>
          <w:rFonts w:ascii="Times New Roman" w:eastAsia="Times New Roman" w:hAnsi="Times New Roman" w:cs="Times New Roman"/>
          <w:lang w:val="en-GB"/>
        </w:rPr>
      </w:pPr>
    </w:p>
    <w:p w:rsidR="00B2198E" w:rsidRPr="00245C76" w:rsidRDefault="00131273" w:rsidP="00B2198E">
      <w:pPr>
        <w:autoSpaceDE/>
        <w:adjustRightInd/>
        <w:spacing w:after="0" w:line="228" w:lineRule="auto"/>
        <w:ind w:right="53"/>
        <w:jc w:val="both"/>
        <w:rPr>
          <w:rFonts w:ascii="Times New Roman" w:eastAsia="Times New Roman" w:hAnsi="Times New Roman" w:cs="Times New Roman"/>
        </w:rPr>
      </w:pPr>
      <w:r w:rsidRPr="00245C76">
        <w:rPr>
          <w:rFonts w:ascii="Times New Roman" w:eastAsia="Times New Roman" w:hAnsi="Times New Roman" w:cs="Times New Roman"/>
          <w:lang w:val="en-GB"/>
        </w:rPr>
        <w:t>Operating expenses were $</w:t>
      </w:r>
      <w:r>
        <w:rPr>
          <w:rFonts w:ascii="Times New Roman" w:eastAsia="Times New Roman" w:hAnsi="Times New Roman" w:cs="Times New Roman"/>
          <w:lang w:val="en-GB"/>
        </w:rPr>
        <w:t>72.9 million for the fourth</w:t>
      </w:r>
      <w:r w:rsidRPr="00245C76">
        <w:rPr>
          <w:rFonts w:ascii="Times New Roman" w:eastAsia="Times New Roman" w:hAnsi="Times New Roman" w:cs="Times New Roman"/>
          <w:lang w:val="en-GB"/>
        </w:rPr>
        <w:t xml:space="preserve"> quarter of 2016, compare</w:t>
      </w:r>
      <w:r>
        <w:rPr>
          <w:rFonts w:ascii="Times New Roman" w:eastAsia="Times New Roman" w:hAnsi="Times New Roman" w:cs="Times New Roman"/>
          <w:lang w:val="en-GB"/>
        </w:rPr>
        <w:t>d to $62.1 million for the fourth</w:t>
      </w:r>
      <w:r w:rsidRPr="00245C76">
        <w:rPr>
          <w:rFonts w:ascii="Times New Roman" w:eastAsia="Times New Roman" w:hAnsi="Times New Roman" w:cs="Times New Roman"/>
          <w:lang w:val="en-GB"/>
        </w:rPr>
        <w:t xml:space="preserve"> quarter of 2015.</w:t>
      </w:r>
      <w:r>
        <w:rPr>
          <w:rFonts w:ascii="Times New Roman" w:eastAsia="Times New Roman" w:hAnsi="Times New Roman" w:cs="Times New Roman"/>
          <w:lang w:val="en-GB"/>
        </w:rPr>
        <w:t xml:space="preserve"> </w:t>
      </w:r>
      <w:r w:rsidRPr="00245C76">
        <w:rPr>
          <w:rFonts w:ascii="Times New Roman" w:eastAsia="Times New Roman" w:hAnsi="Times New Roman" w:cs="Times New Roman"/>
          <w:lang w:val="en-GB"/>
        </w:rPr>
        <w:t xml:space="preserve">Operating expenses for the </w:t>
      </w:r>
      <w:r>
        <w:rPr>
          <w:rFonts w:ascii="Times New Roman" w:eastAsia="Times New Roman" w:hAnsi="Times New Roman" w:cs="Times New Roman"/>
          <w:lang w:val="en-GB"/>
        </w:rPr>
        <w:t xml:space="preserve">full year </w:t>
      </w:r>
      <w:r w:rsidRPr="00245C76">
        <w:rPr>
          <w:rFonts w:ascii="Times New Roman" w:eastAsia="Times New Roman" w:hAnsi="Times New Roman" w:cs="Times New Roman"/>
          <w:lang w:val="en-GB"/>
        </w:rPr>
        <w:t>2016 were $</w:t>
      </w:r>
      <w:r>
        <w:rPr>
          <w:rFonts w:ascii="Times New Roman" w:eastAsia="Times New Roman" w:hAnsi="Times New Roman" w:cs="Times New Roman"/>
          <w:lang w:val="en-GB"/>
        </w:rPr>
        <w:t>276.6 million compared to $240.3</w:t>
      </w:r>
      <w:r w:rsidRPr="00245C76">
        <w:rPr>
          <w:rFonts w:ascii="Times New Roman" w:eastAsia="Times New Roman" w:hAnsi="Times New Roman" w:cs="Times New Roman"/>
          <w:lang w:val="en-GB"/>
        </w:rPr>
        <w:t xml:space="preserve"> million for the </w:t>
      </w:r>
      <w:r>
        <w:rPr>
          <w:rFonts w:ascii="Times New Roman" w:eastAsia="Times New Roman" w:hAnsi="Times New Roman" w:cs="Times New Roman"/>
          <w:lang w:val="en-GB"/>
        </w:rPr>
        <w:t>full year</w:t>
      </w:r>
      <w:r w:rsidRPr="00245C76">
        <w:rPr>
          <w:rFonts w:ascii="Times New Roman" w:eastAsia="Times New Roman" w:hAnsi="Times New Roman" w:cs="Times New Roman"/>
          <w:lang w:val="en-GB"/>
        </w:rPr>
        <w:t xml:space="preserve"> 2015.</w:t>
      </w:r>
    </w:p>
    <w:p w:rsidR="00B2198E" w:rsidRPr="00245C76" w:rsidRDefault="00F376BA" w:rsidP="00B2198E">
      <w:pPr>
        <w:widowControl/>
        <w:autoSpaceDE/>
        <w:autoSpaceDN/>
        <w:adjustRightInd/>
        <w:spacing w:after="0" w:line="240" w:lineRule="auto"/>
        <w:rPr>
          <w:rFonts w:ascii="Times New Roman" w:eastAsia="Times New Roman" w:hAnsi="Times New Roman" w:cs="Times New Roman"/>
          <w:lang w:val="en-GB"/>
        </w:rPr>
      </w:pPr>
    </w:p>
    <w:p w:rsidR="00B2198E" w:rsidRPr="00245C76" w:rsidRDefault="00131273" w:rsidP="00B2198E">
      <w:pPr>
        <w:widowControl/>
        <w:autoSpaceDE/>
        <w:autoSpaceDN/>
        <w:adjustRightInd/>
        <w:spacing w:after="0" w:line="240" w:lineRule="auto"/>
        <w:jc w:val="both"/>
        <w:rPr>
          <w:rFonts w:ascii="Times New Roman" w:eastAsia="Times New Roman" w:hAnsi="Times New Roman" w:cs="Times New Roman"/>
          <w:i/>
          <w:lang w:val="en-GB"/>
        </w:rPr>
      </w:pPr>
      <w:r w:rsidRPr="00245C76">
        <w:rPr>
          <w:rFonts w:ascii="Times New Roman" w:eastAsia="Times New Roman" w:hAnsi="Times New Roman" w:cs="Times New Roman"/>
          <w:i/>
          <w:lang w:val="en-GB"/>
        </w:rPr>
        <w:t xml:space="preserve">General and Administrative Expenses: </w:t>
      </w:r>
    </w:p>
    <w:p w:rsidR="00B2198E" w:rsidRPr="00245C76" w:rsidRDefault="00F376BA" w:rsidP="00B2198E">
      <w:pPr>
        <w:widowControl/>
        <w:autoSpaceDE/>
        <w:autoSpaceDN/>
        <w:adjustRightInd/>
        <w:spacing w:after="0" w:line="240" w:lineRule="auto"/>
        <w:jc w:val="both"/>
        <w:rPr>
          <w:rFonts w:ascii="Times New Roman" w:eastAsia="Times New Roman" w:hAnsi="Times New Roman" w:cs="Times New Roman"/>
          <w:lang w:val="en-GB"/>
        </w:rPr>
      </w:pPr>
    </w:p>
    <w:p w:rsidR="00B2198E" w:rsidRDefault="00131273" w:rsidP="00004DC5">
      <w:pPr>
        <w:autoSpaceDE/>
        <w:adjustRightInd/>
        <w:spacing w:after="0" w:line="228" w:lineRule="auto"/>
        <w:ind w:right="53"/>
        <w:jc w:val="both"/>
        <w:rPr>
          <w:rFonts w:ascii="Times New Roman" w:eastAsia="Times New Roman" w:hAnsi="Times New Roman" w:cs="Times New Roman"/>
        </w:rPr>
      </w:pPr>
      <w:r w:rsidRPr="00245C76">
        <w:rPr>
          <w:rFonts w:ascii="Times New Roman" w:eastAsia="Times New Roman" w:hAnsi="Times New Roman" w:cs="Times New Roman"/>
          <w:lang w:val="en-GB"/>
        </w:rPr>
        <w:t>General and administrative expenses were $</w:t>
      </w:r>
      <w:r>
        <w:rPr>
          <w:rFonts w:ascii="Times New Roman" w:eastAsia="Times New Roman" w:hAnsi="Times New Roman" w:cs="Times New Roman"/>
          <w:lang w:val="en-GB"/>
        </w:rPr>
        <w:t xml:space="preserve">16.5 </w:t>
      </w:r>
      <w:r w:rsidRPr="00245C76">
        <w:rPr>
          <w:rFonts w:ascii="Times New Roman" w:eastAsia="Times New Roman" w:hAnsi="Times New Roman" w:cs="Times New Roman"/>
          <w:lang w:val="en-GB"/>
        </w:rPr>
        <w:t>million for</w:t>
      </w:r>
      <w:r>
        <w:rPr>
          <w:rFonts w:ascii="Times New Roman" w:eastAsia="Times New Roman" w:hAnsi="Times New Roman" w:cs="Times New Roman"/>
          <w:lang w:val="en-GB"/>
        </w:rPr>
        <w:t xml:space="preserve"> the fourth</w:t>
      </w:r>
      <w:r w:rsidRPr="00245C76">
        <w:rPr>
          <w:rFonts w:ascii="Times New Roman" w:eastAsia="Times New Roman" w:hAnsi="Times New Roman" w:cs="Times New Roman"/>
          <w:lang w:val="en-GB"/>
        </w:rPr>
        <w:t xml:space="preserve"> quarter of 2016, compar</w:t>
      </w:r>
      <w:r>
        <w:rPr>
          <w:rFonts w:ascii="Times New Roman" w:eastAsia="Times New Roman" w:hAnsi="Times New Roman" w:cs="Times New Roman"/>
          <w:lang w:val="en-GB"/>
        </w:rPr>
        <w:t xml:space="preserve">ed to $9.6 million for the fourth quarter of 2015. </w:t>
      </w:r>
      <w:r w:rsidRPr="00245C76">
        <w:rPr>
          <w:rFonts w:ascii="Times New Roman" w:eastAsia="Times New Roman" w:hAnsi="Times New Roman" w:cs="Times New Roman"/>
          <w:lang w:val="en-GB"/>
        </w:rPr>
        <w:t xml:space="preserve">General and administrative expenses for the </w:t>
      </w:r>
      <w:r>
        <w:rPr>
          <w:rFonts w:ascii="Times New Roman" w:eastAsia="Times New Roman" w:hAnsi="Times New Roman" w:cs="Times New Roman"/>
          <w:lang w:val="en-GB"/>
        </w:rPr>
        <w:t>full year</w:t>
      </w:r>
      <w:r w:rsidRPr="00245C76">
        <w:rPr>
          <w:rFonts w:ascii="Times New Roman" w:eastAsia="Times New Roman" w:hAnsi="Times New Roman" w:cs="Times New Roman"/>
          <w:lang w:val="en-GB"/>
        </w:rPr>
        <w:t xml:space="preserve"> </w:t>
      </w:r>
      <w:r>
        <w:rPr>
          <w:rFonts w:ascii="Times New Roman" w:eastAsia="Times New Roman" w:hAnsi="Times New Roman" w:cs="Times New Roman"/>
          <w:lang w:val="en-GB"/>
        </w:rPr>
        <w:t>2016 were $53.8 million compared to $31.8</w:t>
      </w:r>
      <w:r w:rsidRPr="0009342A">
        <w:rPr>
          <w:rFonts w:ascii="Times New Roman" w:eastAsia="Times New Roman" w:hAnsi="Times New Roman" w:cs="Times New Roman"/>
          <w:lang w:val="en-GB"/>
        </w:rPr>
        <w:t xml:space="preserve"> million for the </w:t>
      </w:r>
      <w:r>
        <w:rPr>
          <w:rFonts w:ascii="Times New Roman" w:eastAsia="Times New Roman" w:hAnsi="Times New Roman" w:cs="Times New Roman"/>
          <w:lang w:val="en-GB"/>
        </w:rPr>
        <w:t>full year</w:t>
      </w:r>
      <w:r w:rsidRPr="0009342A">
        <w:rPr>
          <w:rFonts w:ascii="Times New Roman" w:eastAsia="Times New Roman" w:hAnsi="Times New Roman" w:cs="Times New Roman"/>
          <w:lang w:val="en-GB"/>
        </w:rPr>
        <w:t xml:space="preserve"> 2015. </w:t>
      </w:r>
      <w:r w:rsidRPr="0009342A">
        <w:rPr>
          <w:rFonts w:ascii="Times New Roman" w:eastAsia="Times New Roman" w:hAnsi="Times New Roman" w:cs="Times New Roman"/>
        </w:rPr>
        <w:t xml:space="preserve">The increase of approximately </w:t>
      </w:r>
      <w:r w:rsidRPr="00927432">
        <w:rPr>
          <w:rFonts w:ascii="Times New Roman" w:eastAsia="Times New Roman" w:hAnsi="Times New Roman" w:cs="Times New Roman"/>
        </w:rPr>
        <w:t>$</w:t>
      </w:r>
      <w:r>
        <w:rPr>
          <w:rFonts w:ascii="Times New Roman" w:eastAsia="Times New Roman" w:hAnsi="Times New Roman" w:cs="Times New Roman"/>
        </w:rPr>
        <w:t>22.0</w:t>
      </w:r>
      <w:r w:rsidRPr="0009342A">
        <w:rPr>
          <w:rFonts w:ascii="Times New Roman" w:eastAsia="Times New Roman" w:hAnsi="Times New Roman" w:cs="Times New Roman"/>
        </w:rPr>
        <w:t xml:space="preserve"> million </w:t>
      </w:r>
      <w:r>
        <w:rPr>
          <w:rFonts w:ascii="Times New Roman" w:eastAsia="Times New Roman" w:hAnsi="Times New Roman" w:cs="Times New Roman"/>
        </w:rPr>
        <w:t>during the full year 2016 compared to the same period in 2015</w:t>
      </w:r>
      <w:r w:rsidRPr="0009342A">
        <w:rPr>
          <w:rFonts w:ascii="Times New Roman" w:eastAsia="Times New Roman" w:hAnsi="Times New Roman" w:cs="Times New Roman"/>
        </w:rPr>
        <w:t xml:space="preserve"> resulted primarily fr</w:t>
      </w:r>
      <w:r>
        <w:rPr>
          <w:rFonts w:ascii="Times New Roman" w:eastAsia="Times New Roman" w:hAnsi="Times New Roman" w:cs="Times New Roman"/>
        </w:rPr>
        <w:t>om increases of approximately $9.</w:t>
      </w:r>
      <w:r w:rsidR="002A4D3C">
        <w:rPr>
          <w:rFonts w:ascii="Times New Roman" w:eastAsia="Times New Roman" w:hAnsi="Times New Roman" w:cs="Times New Roman"/>
        </w:rPr>
        <w:t>4</w:t>
      </w:r>
      <w:r w:rsidRPr="0009342A">
        <w:rPr>
          <w:rFonts w:ascii="Times New Roman" w:eastAsia="Times New Roman" w:hAnsi="Times New Roman" w:cs="Times New Roman"/>
        </w:rPr>
        <w:t xml:space="preserve"> million</w:t>
      </w:r>
      <w:r>
        <w:rPr>
          <w:rFonts w:ascii="Times New Roman" w:eastAsia="Times New Roman" w:hAnsi="Times New Roman" w:cs="Times New Roman"/>
        </w:rPr>
        <w:t xml:space="preserve"> in stock-based compensation, $2.8</w:t>
      </w:r>
      <w:r w:rsidRPr="0009342A">
        <w:rPr>
          <w:rFonts w:ascii="Times New Roman" w:eastAsia="Times New Roman" w:hAnsi="Times New Roman" w:cs="Times New Roman"/>
        </w:rPr>
        <w:t xml:space="preserve"> million in payroll and related costs</w:t>
      </w:r>
      <w:r>
        <w:rPr>
          <w:rFonts w:ascii="Times New Roman" w:eastAsia="Times New Roman" w:hAnsi="Times New Roman" w:cs="Times New Roman"/>
        </w:rPr>
        <w:t>, $7.1</w:t>
      </w:r>
      <w:r w:rsidRPr="0009342A">
        <w:rPr>
          <w:rFonts w:ascii="Times New Roman" w:eastAsia="Times New Roman" w:hAnsi="Times New Roman" w:cs="Times New Roman"/>
        </w:rPr>
        <w:t xml:space="preserve"> million in </w:t>
      </w:r>
      <w:r>
        <w:rPr>
          <w:rFonts w:ascii="Times New Roman" w:eastAsia="Times New Roman" w:hAnsi="Times New Roman" w:cs="Times New Roman"/>
        </w:rPr>
        <w:t>professional fees and expenses and $2.2</w:t>
      </w:r>
      <w:r w:rsidRPr="0009342A">
        <w:rPr>
          <w:rFonts w:ascii="Times New Roman" w:eastAsia="Times New Roman" w:hAnsi="Times New Roman" w:cs="Times New Roman"/>
        </w:rPr>
        <w:t xml:space="preserve"> million in facility and equipment costs.</w:t>
      </w:r>
      <w:r>
        <w:rPr>
          <w:rFonts w:ascii="Times New Roman" w:eastAsia="Times New Roman" w:hAnsi="Times New Roman" w:cs="Times New Roman"/>
        </w:rPr>
        <w:t xml:space="preserve"> </w:t>
      </w:r>
      <w:r w:rsidRPr="0009342A">
        <w:rPr>
          <w:rFonts w:ascii="Times New Roman" w:eastAsia="Times New Roman" w:hAnsi="Times New Roman" w:cs="Times New Roman"/>
        </w:rPr>
        <w:t xml:space="preserve"> These increases reflect higher legal and compliance expenses, as well as overall corporate growth.</w:t>
      </w:r>
    </w:p>
    <w:p w:rsidR="00004DC5" w:rsidRPr="00245C76" w:rsidRDefault="00F376BA" w:rsidP="00B2198E">
      <w:pPr>
        <w:widowControl/>
        <w:autoSpaceDE/>
        <w:autoSpaceDN/>
        <w:adjustRightInd/>
        <w:spacing w:after="0" w:line="240" w:lineRule="auto"/>
        <w:jc w:val="both"/>
        <w:rPr>
          <w:rFonts w:ascii="Times New Roman" w:eastAsia="Times New Roman" w:hAnsi="Times New Roman" w:cs="Times New Roman"/>
          <w:lang w:val="en-GB"/>
        </w:rPr>
      </w:pPr>
    </w:p>
    <w:p w:rsidR="00B2198E" w:rsidRPr="00245C76" w:rsidRDefault="00131273" w:rsidP="00B2198E">
      <w:pPr>
        <w:widowControl/>
        <w:autoSpaceDE/>
        <w:autoSpaceDN/>
        <w:adjustRightInd/>
        <w:spacing w:after="0" w:line="240" w:lineRule="auto"/>
        <w:jc w:val="both"/>
        <w:rPr>
          <w:rFonts w:ascii="Times New Roman" w:eastAsia="Times New Roman" w:hAnsi="Times New Roman" w:cs="Times New Roman"/>
          <w:i/>
          <w:lang w:val="en-GB"/>
        </w:rPr>
      </w:pPr>
      <w:r w:rsidRPr="00245C76">
        <w:rPr>
          <w:rFonts w:ascii="Times New Roman" w:eastAsia="Times New Roman" w:hAnsi="Times New Roman" w:cs="Times New Roman"/>
          <w:i/>
          <w:lang w:val="en-GB"/>
        </w:rPr>
        <w:t xml:space="preserve">Research and Development Expenses: </w:t>
      </w:r>
    </w:p>
    <w:p w:rsidR="00B2198E" w:rsidRPr="00245C76" w:rsidRDefault="00F376BA" w:rsidP="00B2198E">
      <w:pPr>
        <w:widowControl/>
        <w:autoSpaceDE/>
        <w:autoSpaceDN/>
        <w:adjustRightInd/>
        <w:spacing w:after="0" w:line="240" w:lineRule="auto"/>
        <w:jc w:val="both"/>
        <w:rPr>
          <w:rFonts w:ascii="Times New Roman" w:eastAsia="Times New Roman" w:hAnsi="Times New Roman" w:cs="Times New Roman"/>
          <w:lang w:val="en-GB"/>
        </w:rPr>
      </w:pPr>
    </w:p>
    <w:p w:rsidR="00004DC5" w:rsidRPr="00245C76" w:rsidRDefault="00131273" w:rsidP="00B2198E">
      <w:pPr>
        <w:widowControl/>
        <w:autoSpaceDE/>
        <w:autoSpaceDN/>
        <w:adjustRightInd/>
        <w:spacing w:after="0" w:line="240" w:lineRule="auto"/>
        <w:jc w:val="both"/>
        <w:rPr>
          <w:rFonts w:ascii="Times New Roman" w:eastAsia="Times New Roman" w:hAnsi="Times New Roman" w:cs="Times New Roman"/>
          <w:lang w:val="en-GB"/>
        </w:rPr>
      </w:pPr>
      <w:r w:rsidRPr="00245C76">
        <w:rPr>
          <w:rFonts w:ascii="Times New Roman" w:eastAsia="Times New Roman" w:hAnsi="Times New Roman" w:cs="Times New Roman"/>
          <w:lang w:val="en-GB"/>
        </w:rPr>
        <w:t>Research and development expenses were $</w:t>
      </w:r>
      <w:r>
        <w:rPr>
          <w:rFonts w:ascii="Times New Roman" w:eastAsia="Times New Roman" w:hAnsi="Times New Roman" w:cs="Times New Roman"/>
          <w:lang w:val="en-GB"/>
        </w:rPr>
        <w:t>56.4 million for the fourth</w:t>
      </w:r>
      <w:r w:rsidRPr="00245C76">
        <w:rPr>
          <w:rFonts w:ascii="Times New Roman" w:eastAsia="Times New Roman" w:hAnsi="Times New Roman" w:cs="Times New Roman"/>
          <w:lang w:val="en-GB"/>
        </w:rPr>
        <w:t xml:space="preserve"> quarter of 2016, compare</w:t>
      </w:r>
      <w:r>
        <w:rPr>
          <w:rFonts w:ascii="Times New Roman" w:eastAsia="Times New Roman" w:hAnsi="Times New Roman" w:cs="Times New Roman"/>
          <w:lang w:val="en-GB"/>
        </w:rPr>
        <w:t>d to $52.5 million for the fourth</w:t>
      </w:r>
      <w:r w:rsidRPr="00245C76">
        <w:rPr>
          <w:rFonts w:ascii="Times New Roman" w:eastAsia="Times New Roman" w:hAnsi="Times New Roman" w:cs="Times New Roman"/>
          <w:lang w:val="en-GB"/>
        </w:rPr>
        <w:t xml:space="preserve"> quarter of 2015.</w:t>
      </w:r>
      <w:r>
        <w:rPr>
          <w:rFonts w:ascii="Times New Roman" w:eastAsia="Times New Roman" w:hAnsi="Times New Roman" w:cs="Times New Roman"/>
          <w:lang w:val="en-GB"/>
        </w:rPr>
        <w:t xml:space="preserve">  </w:t>
      </w:r>
      <w:r w:rsidRPr="00245C76">
        <w:rPr>
          <w:rFonts w:ascii="Times New Roman" w:eastAsia="Times New Roman" w:hAnsi="Times New Roman" w:cs="Times New Roman"/>
          <w:lang w:val="en-GB"/>
        </w:rPr>
        <w:t xml:space="preserve">Research and development expenses for </w:t>
      </w:r>
      <w:r>
        <w:rPr>
          <w:rFonts w:ascii="Times New Roman" w:eastAsia="Times New Roman" w:hAnsi="Times New Roman" w:cs="Times New Roman"/>
          <w:lang w:val="en-GB"/>
        </w:rPr>
        <w:t>the full year</w:t>
      </w:r>
      <w:r w:rsidRPr="00245C76">
        <w:rPr>
          <w:rFonts w:ascii="Times New Roman" w:eastAsia="Times New Roman" w:hAnsi="Times New Roman" w:cs="Times New Roman"/>
          <w:lang w:val="en-GB"/>
        </w:rPr>
        <w:t xml:space="preserve"> </w:t>
      </w:r>
      <w:r w:rsidRPr="0009342A">
        <w:rPr>
          <w:rFonts w:ascii="Times New Roman" w:eastAsia="Times New Roman" w:hAnsi="Times New Roman" w:cs="Times New Roman"/>
          <w:lang w:val="en-GB"/>
        </w:rPr>
        <w:t xml:space="preserve">2016 were </w:t>
      </w:r>
      <w:r>
        <w:rPr>
          <w:rFonts w:ascii="Times New Roman" w:eastAsia="Times New Roman" w:hAnsi="Times New Roman" w:cs="Times New Roman"/>
          <w:lang w:val="en-GB"/>
        </w:rPr>
        <w:t>$222.8 million, compared to $208.5</w:t>
      </w:r>
      <w:r w:rsidRPr="0009342A">
        <w:rPr>
          <w:rFonts w:ascii="Times New Roman" w:eastAsia="Times New Roman" w:hAnsi="Times New Roman" w:cs="Times New Roman"/>
          <w:lang w:val="en-GB"/>
        </w:rPr>
        <w:t xml:space="preserve"> million for the </w:t>
      </w:r>
      <w:r>
        <w:rPr>
          <w:rFonts w:ascii="Times New Roman" w:eastAsia="Times New Roman" w:hAnsi="Times New Roman" w:cs="Times New Roman"/>
          <w:lang w:val="en-GB"/>
        </w:rPr>
        <w:t>full year</w:t>
      </w:r>
      <w:r w:rsidRPr="0009342A">
        <w:rPr>
          <w:rFonts w:ascii="Times New Roman" w:eastAsia="Times New Roman" w:hAnsi="Times New Roman" w:cs="Times New Roman"/>
          <w:lang w:val="en-GB"/>
        </w:rPr>
        <w:t xml:space="preserve"> 2015.</w:t>
      </w:r>
      <w:r>
        <w:rPr>
          <w:rFonts w:ascii="Times New Roman" w:eastAsia="Times New Roman" w:hAnsi="Times New Roman" w:cs="Times New Roman"/>
          <w:lang w:val="en-GB"/>
        </w:rPr>
        <w:t xml:space="preserve"> </w:t>
      </w:r>
      <w:r w:rsidRPr="0009342A">
        <w:rPr>
          <w:rFonts w:ascii="Times New Roman" w:eastAsia="Times New Roman" w:hAnsi="Times New Roman" w:cs="Times New Roman"/>
          <w:lang w:val="en-GB"/>
        </w:rPr>
        <w:t>The</w:t>
      </w:r>
      <w:r>
        <w:rPr>
          <w:rFonts w:ascii="Times New Roman" w:eastAsia="Times New Roman" w:hAnsi="Times New Roman" w:cs="Times New Roman"/>
          <w:lang w:val="en-GB"/>
        </w:rPr>
        <w:t xml:space="preserve"> increase of approximately $14.3</w:t>
      </w:r>
      <w:r w:rsidRPr="0009342A">
        <w:rPr>
          <w:rFonts w:ascii="Times New Roman" w:eastAsia="Times New Roman" w:hAnsi="Times New Roman" w:cs="Times New Roman"/>
          <w:lang w:val="en-GB"/>
        </w:rPr>
        <w:t xml:space="preserve"> million </w:t>
      </w:r>
      <w:r>
        <w:rPr>
          <w:rFonts w:ascii="Times New Roman" w:eastAsia="Times New Roman" w:hAnsi="Times New Roman" w:cs="Times New Roman"/>
        </w:rPr>
        <w:t>during the full year 2016 compared to the same period in 2015</w:t>
      </w:r>
      <w:r w:rsidRPr="0009342A">
        <w:rPr>
          <w:rFonts w:ascii="Times New Roman" w:eastAsia="Times New Roman" w:hAnsi="Times New Roman" w:cs="Times New Roman"/>
        </w:rPr>
        <w:t xml:space="preserve"> </w:t>
      </w:r>
      <w:r w:rsidRPr="0009342A">
        <w:rPr>
          <w:rFonts w:ascii="Times New Roman" w:eastAsia="Times New Roman" w:hAnsi="Times New Roman" w:cs="Times New Roman"/>
          <w:lang w:val="en-GB"/>
        </w:rPr>
        <w:t>resulted primarily fr</w:t>
      </w:r>
      <w:r>
        <w:rPr>
          <w:rFonts w:ascii="Times New Roman" w:eastAsia="Times New Roman" w:hAnsi="Times New Roman" w:cs="Times New Roman"/>
          <w:lang w:val="en-GB"/>
        </w:rPr>
        <w:t>om increases of approximately $12.</w:t>
      </w:r>
      <w:r w:rsidR="002A4D3C">
        <w:rPr>
          <w:rFonts w:ascii="Times New Roman" w:eastAsia="Times New Roman" w:hAnsi="Times New Roman" w:cs="Times New Roman"/>
          <w:lang w:val="en-GB"/>
        </w:rPr>
        <w:t>8</w:t>
      </w:r>
      <w:r w:rsidRPr="0009342A">
        <w:rPr>
          <w:rFonts w:ascii="Times New Roman" w:eastAsia="Times New Roman" w:hAnsi="Times New Roman" w:cs="Times New Roman"/>
          <w:lang w:val="en-GB"/>
        </w:rPr>
        <w:t xml:space="preserve"> million in stock-based compensation</w:t>
      </w:r>
      <w:r>
        <w:rPr>
          <w:rFonts w:ascii="Times New Roman" w:eastAsia="Times New Roman" w:hAnsi="Times New Roman" w:cs="Times New Roman"/>
          <w:lang w:val="en-GB"/>
        </w:rPr>
        <w:t>, $6.2</w:t>
      </w:r>
      <w:r w:rsidRPr="0009342A">
        <w:rPr>
          <w:rFonts w:ascii="Times New Roman" w:eastAsia="Times New Roman" w:hAnsi="Times New Roman" w:cs="Times New Roman"/>
          <w:lang w:val="en-GB"/>
        </w:rPr>
        <w:t xml:space="preserve"> million for internal clinical development, regulatory</w:t>
      </w:r>
      <w:r>
        <w:rPr>
          <w:rFonts w:ascii="Times New Roman" w:eastAsia="Times New Roman" w:hAnsi="Times New Roman" w:cs="Times New Roman"/>
          <w:lang w:val="en-GB"/>
        </w:rPr>
        <w:t xml:space="preserve"> affairs</w:t>
      </w:r>
      <w:r w:rsidRPr="0009342A">
        <w:rPr>
          <w:rFonts w:ascii="Times New Roman" w:eastAsia="Times New Roman" w:hAnsi="Times New Roman" w:cs="Times New Roman"/>
          <w:lang w:val="en-GB"/>
        </w:rPr>
        <w:t xml:space="preserve"> and quality assurance</w:t>
      </w:r>
      <w:r>
        <w:rPr>
          <w:rFonts w:ascii="Times New Roman" w:eastAsia="Times New Roman" w:hAnsi="Times New Roman" w:cs="Times New Roman"/>
          <w:lang w:val="en-GB"/>
        </w:rPr>
        <w:t xml:space="preserve"> and internal chemical manufacturing</w:t>
      </w:r>
      <w:r w:rsidRPr="0009342A">
        <w:rPr>
          <w:rFonts w:ascii="Times New Roman" w:eastAsia="Times New Roman" w:hAnsi="Times New Roman" w:cs="Times New Roman"/>
          <w:lang w:val="en-GB"/>
        </w:rPr>
        <w:t xml:space="preserve"> expenses</w:t>
      </w:r>
      <w:r>
        <w:rPr>
          <w:rFonts w:ascii="Times New Roman" w:eastAsia="Times New Roman" w:hAnsi="Times New Roman" w:cs="Times New Roman"/>
          <w:lang w:val="en-GB"/>
        </w:rPr>
        <w:t xml:space="preserve"> and $2.0 million in consultants and contractors related expenses, offset by a $6.8 million decrease in clinical trial expenses</w:t>
      </w:r>
      <w:r w:rsidRPr="0009342A">
        <w:rPr>
          <w:rFonts w:ascii="Times New Roman" w:eastAsia="Times New Roman" w:hAnsi="Times New Roman" w:cs="Times New Roman"/>
          <w:lang w:val="en-GB"/>
        </w:rPr>
        <w:t>.</w:t>
      </w:r>
    </w:p>
    <w:p w:rsidR="004D391E" w:rsidRDefault="00F376BA" w:rsidP="004D391E">
      <w:pPr>
        <w:autoSpaceDE/>
        <w:autoSpaceDN/>
        <w:adjustRightInd/>
        <w:spacing w:after="0" w:line="240" w:lineRule="auto"/>
        <w:ind w:right="-20"/>
        <w:jc w:val="both"/>
        <w:rPr>
          <w:rFonts w:ascii="Times New Roman" w:eastAsia="Times New Roman" w:hAnsi="Times New Roman" w:cs="Times New Roman"/>
          <w:lang w:val="en-GB"/>
        </w:rPr>
      </w:pPr>
    </w:p>
    <w:p w:rsidR="004D391E" w:rsidRPr="004D391E" w:rsidRDefault="00131273" w:rsidP="004D391E">
      <w:pPr>
        <w:autoSpaceDE/>
        <w:autoSpaceDN/>
        <w:adjustRightInd/>
        <w:spacing w:after="0" w:line="240" w:lineRule="auto"/>
        <w:ind w:right="-20"/>
        <w:jc w:val="both"/>
        <w:rPr>
          <w:rFonts w:ascii="Times New Roman" w:eastAsia="Times New Roman" w:hAnsi="Times New Roman" w:cs="Times New Roman"/>
          <w:b/>
        </w:rPr>
      </w:pPr>
      <w:r w:rsidRPr="004D391E">
        <w:rPr>
          <w:rFonts w:ascii="Times New Roman" w:eastAsia="Times New Roman" w:hAnsi="Times New Roman" w:cs="Times New Roman"/>
          <w:b/>
        </w:rPr>
        <w:t>About Puma Biotechnology</w:t>
      </w:r>
    </w:p>
    <w:p w:rsidR="004D391E" w:rsidRDefault="00F376BA" w:rsidP="004D391E">
      <w:pPr>
        <w:autoSpaceDE/>
        <w:autoSpaceDN/>
        <w:adjustRightInd/>
        <w:spacing w:after="0" w:line="240" w:lineRule="auto"/>
        <w:ind w:right="-20"/>
        <w:jc w:val="both"/>
        <w:rPr>
          <w:rFonts w:ascii="Times New Roman" w:eastAsia="Times New Roman" w:hAnsi="Times New Roman" w:cs="Times New Roman"/>
          <w:b/>
        </w:rPr>
      </w:pPr>
    </w:p>
    <w:p w:rsidR="004D391E" w:rsidRPr="004D391E" w:rsidRDefault="00131273" w:rsidP="004D391E">
      <w:pPr>
        <w:autoSpaceDE/>
        <w:autoSpaceDN/>
        <w:adjustRightInd/>
        <w:spacing w:after="0" w:line="240" w:lineRule="auto"/>
        <w:ind w:right="-20"/>
        <w:jc w:val="both"/>
        <w:rPr>
          <w:rFonts w:ascii="Times New Roman" w:eastAsia="Times New Roman" w:hAnsi="Times New Roman" w:cs="Times New Roman"/>
        </w:rPr>
      </w:pPr>
      <w:r>
        <w:rPr>
          <w:rFonts w:ascii="Times New Roman" w:eastAsia="Times New Roman" w:hAnsi="Times New Roman" w:cs="Times New Roman"/>
        </w:rPr>
        <w:t xml:space="preserve">Puma Biotechnology, Inc. </w:t>
      </w:r>
      <w:r w:rsidRPr="004D391E">
        <w:rPr>
          <w:rFonts w:ascii="Times New Roman" w:eastAsia="Times New Roman" w:hAnsi="Times New Roman" w:cs="Times New Roman"/>
        </w:rPr>
        <w:t xml:space="preserve">is a biopharmaceutical company with a focus on the development and commercialization of innovative products to enhance cancer care. </w:t>
      </w:r>
      <w:proofErr w:type="gramStart"/>
      <w:r w:rsidRPr="004D391E">
        <w:rPr>
          <w:rFonts w:ascii="Times New Roman" w:eastAsia="Times New Roman" w:hAnsi="Times New Roman" w:cs="Times New Roman"/>
        </w:rPr>
        <w:t>The Company in-licenses the global development and commercialization rights to three drug candidates—PB272 (neratinib (oral)), PB272 (neratinib (intravenous)) and PB357.</w:t>
      </w:r>
      <w:proofErr w:type="gramEnd"/>
      <w:r w:rsidRPr="004D391E">
        <w:rPr>
          <w:rFonts w:ascii="Times New Roman" w:eastAsia="Times New Roman" w:hAnsi="Times New Roman" w:cs="Times New Roman"/>
        </w:rPr>
        <w:t xml:space="preserve"> Neratinib is a potent irreversible tyrosine kinase inhibitor that blocks signal transduction through the epidermal growth factor receptors, HER1, HER2 and HER4. Currently, the Company is primarily focused on the development of the oral version of neratinib, and its most advanced drug candidates are directed at the treatment of HER2-positive breast cancer. The Company believes that neratinib has clinical application in the treatment of several other cancers as well, including non-small cell lung cancer and other tumor types that over-express or have a mutation in HER2.</w:t>
      </w:r>
      <w:r>
        <w:rPr>
          <w:rFonts w:ascii="Times New Roman" w:eastAsia="Times New Roman" w:hAnsi="Times New Roman" w:cs="Times New Roman"/>
        </w:rPr>
        <w:t xml:space="preserve"> </w:t>
      </w:r>
    </w:p>
    <w:p w:rsidR="004D391E" w:rsidRPr="004D391E" w:rsidRDefault="00F376BA" w:rsidP="004D391E">
      <w:pPr>
        <w:autoSpaceDE/>
        <w:autoSpaceDN/>
        <w:adjustRightInd/>
        <w:spacing w:after="0" w:line="240" w:lineRule="auto"/>
        <w:ind w:right="-20"/>
        <w:jc w:val="both"/>
        <w:rPr>
          <w:rFonts w:ascii="Times New Roman" w:eastAsia="Times New Roman" w:hAnsi="Times New Roman" w:cs="Times New Roman"/>
        </w:rPr>
      </w:pPr>
    </w:p>
    <w:p w:rsidR="004D391E" w:rsidRPr="004D391E" w:rsidRDefault="00131273" w:rsidP="004D391E">
      <w:pPr>
        <w:autoSpaceDE/>
        <w:autoSpaceDN/>
        <w:adjustRightInd/>
        <w:spacing w:after="0" w:line="240" w:lineRule="auto"/>
        <w:ind w:right="-20"/>
        <w:jc w:val="both"/>
        <w:rPr>
          <w:rFonts w:ascii="Times New Roman" w:eastAsia="Times New Roman" w:hAnsi="Times New Roman" w:cs="Times New Roman"/>
        </w:rPr>
      </w:pPr>
      <w:r w:rsidRPr="004D391E">
        <w:rPr>
          <w:rFonts w:ascii="Times New Roman" w:eastAsia="Times New Roman" w:hAnsi="Times New Roman" w:cs="Times New Roman"/>
        </w:rPr>
        <w:t>Further information about Puma Biotechnology can be found at www.pumabiotechnology.com.</w:t>
      </w:r>
    </w:p>
    <w:p w:rsidR="004D391E" w:rsidRDefault="00F376BA" w:rsidP="004D391E">
      <w:pPr>
        <w:autoSpaceDE/>
        <w:autoSpaceDN/>
        <w:adjustRightInd/>
        <w:spacing w:after="0" w:line="240" w:lineRule="auto"/>
        <w:ind w:right="-20"/>
        <w:jc w:val="both"/>
        <w:rPr>
          <w:rFonts w:ascii="Times New Roman" w:eastAsia="Times New Roman" w:hAnsi="Times New Roman" w:cs="Times New Roman"/>
          <w:b/>
        </w:rPr>
      </w:pPr>
    </w:p>
    <w:p w:rsidR="00927432" w:rsidRDefault="00131273" w:rsidP="004D391E">
      <w:pPr>
        <w:autoSpaceDE/>
        <w:autoSpaceDN/>
        <w:adjustRightInd/>
        <w:spacing w:after="0" w:line="240" w:lineRule="auto"/>
        <w:ind w:right="-20"/>
        <w:jc w:val="both"/>
        <w:rPr>
          <w:rFonts w:ascii="Times New Roman" w:eastAsia="Times New Roman" w:hAnsi="Times New Roman" w:cs="Times New Roman"/>
          <w:b/>
        </w:rPr>
      </w:pPr>
      <w:r>
        <w:rPr>
          <w:rFonts w:ascii="Times New Roman" w:eastAsia="Times New Roman" w:hAnsi="Times New Roman" w:cs="Times New Roman"/>
          <w:b/>
        </w:rPr>
        <w:t>Forward-Looking Statements</w:t>
      </w:r>
    </w:p>
    <w:p w:rsidR="00927432" w:rsidRDefault="00F376BA" w:rsidP="004D391E">
      <w:pPr>
        <w:autoSpaceDE/>
        <w:autoSpaceDN/>
        <w:adjustRightInd/>
        <w:spacing w:after="0" w:line="240" w:lineRule="auto"/>
        <w:ind w:right="-20"/>
        <w:jc w:val="both"/>
        <w:rPr>
          <w:rFonts w:ascii="Times New Roman" w:eastAsia="Times New Roman" w:hAnsi="Times New Roman" w:cs="Times New Roman"/>
          <w:b/>
        </w:rPr>
      </w:pPr>
    </w:p>
    <w:p w:rsidR="00B2198E" w:rsidRDefault="00131273" w:rsidP="004D391E">
      <w:pPr>
        <w:autoSpaceDE/>
        <w:autoSpaceDN/>
        <w:adjustRightInd/>
        <w:spacing w:after="0" w:line="240" w:lineRule="auto"/>
        <w:ind w:right="-20"/>
        <w:jc w:val="both"/>
        <w:rPr>
          <w:rFonts w:ascii="Times New Roman" w:eastAsia="Times New Roman" w:hAnsi="Times New Roman" w:cs="Times New Roman"/>
          <w:b/>
        </w:rPr>
      </w:pPr>
      <w:r w:rsidRPr="004D391E">
        <w:rPr>
          <w:rFonts w:ascii="Times New Roman" w:eastAsia="Times New Roman" w:hAnsi="Times New Roman" w:cs="Times New Roman"/>
        </w:rPr>
        <w:t xml:space="preserve">This press release contains forward-looking statements, including statements regarding </w:t>
      </w:r>
      <w:r>
        <w:rPr>
          <w:rFonts w:ascii="Times New Roman" w:eastAsia="Times New Roman" w:hAnsi="Times New Roman" w:cs="Times New Roman"/>
        </w:rPr>
        <w:t xml:space="preserve">the potential </w:t>
      </w:r>
      <w:r>
        <w:rPr>
          <w:rFonts w:ascii="Times New Roman" w:eastAsia="Times New Roman" w:hAnsi="Times New Roman" w:cs="Times New Roman"/>
        </w:rPr>
        <w:lastRenderedPageBreak/>
        <w:t>announcement of regulatory decisions</w:t>
      </w:r>
      <w:r w:rsidRPr="002A28CE">
        <w:rPr>
          <w:rFonts w:ascii="Times New Roman" w:eastAsia="Times New Roman" w:hAnsi="Times New Roman" w:cs="Times New Roman"/>
          <w:lang w:val="en-GB"/>
        </w:rPr>
        <w:t xml:space="preserve"> in </w:t>
      </w:r>
      <w:r>
        <w:rPr>
          <w:rFonts w:ascii="Times New Roman" w:eastAsia="Times New Roman" w:hAnsi="Times New Roman" w:cs="Times New Roman"/>
          <w:lang w:val="en-GB"/>
        </w:rPr>
        <w:t xml:space="preserve">the </w:t>
      </w:r>
      <w:r w:rsidRPr="002A28CE">
        <w:rPr>
          <w:rFonts w:ascii="Times New Roman" w:eastAsia="Times New Roman" w:hAnsi="Times New Roman" w:cs="Times New Roman"/>
          <w:lang w:val="en-GB"/>
        </w:rPr>
        <w:t>U</w:t>
      </w:r>
      <w:r>
        <w:rPr>
          <w:rFonts w:ascii="Times New Roman" w:eastAsia="Times New Roman" w:hAnsi="Times New Roman" w:cs="Times New Roman"/>
          <w:lang w:val="en-GB"/>
        </w:rPr>
        <w:t xml:space="preserve">nited States and </w:t>
      </w:r>
      <w:r w:rsidRPr="002A28CE">
        <w:rPr>
          <w:rFonts w:ascii="Times New Roman" w:eastAsia="Times New Roman" w:hAnsi="Times New Roman" w:cs="Times New Roman"/>
          <w:lang w:val="en-GB"/>
        </w:rPr>
        <w:t>E</w:t>
      </w:r>
      <w:r>
        <w:rPr>
          <w:rFonts w:ascii="Times New Roman" w:eastAsia="Times New Roman" w:hAnsi="Times New Roman" w:cs="Times New Roman"/>
          <w:lang w:val="en-GB"/>
        </w:rPr>
        <w:t>uropean Union</w:t>
      </w:r>
      <w:r w:rsidRPr="002A28CE">
        <w:rPr>
          <w:rFonts w:ascii="Times New Roman" w:eastAsia="Times New Roman" w:hAnsi="Times New Roman" w:cs="Times New Roman"/>
          <w:lang w:val="en-GB"/>
        </w:rPr>
        <w:t xml:space="preserve"> on neratinib</w:t>
      </w:r>
      <w:r>
        <w:rPr>
          <w:rFonts w:ascii="Times New Roman" w:eastAsia="Times New Roman" w:hAnsi="Times New Roman" w:cs="Times New Roman"/>
          <w:lang w:val="en-GB"/>
        </w:rPr>
        <w:t xml:space="preserve"> for the</w:t>
      </w:r>
      <w:r w:rsidRPr="002A28CE">
        <w:rPr>
          <w:rFonts w:ascii="Times New Roman" w:eastAsia="Times New Roman" w:hAnsi="Times New Roman" w:cs="Times New Roman"/>
          <w:lang w:val="en-GB"/>
        </w:rPr>
        <w:t xml:space="preserve"> extended adjuvant</w:t>
      </w:r>
      <w:r>
        <w:rPr>
          <w:rFonts w:ascii="Times New Roman" w:eastAsia="Times New Roman" w:hAnsi="Times New Roman" w:cs="Times New Roman"/>
          <w:lang w:val="en-GB"/>
        </w:rPr>
        <w:t xml:space="preserve"> treatment of patients with</w:t>
      </w:r>
      <w:r w:rsidRPr="002A28CE">
        <w:rPr>
          <w:rFonts w:ascii="Times New Roman" w:eastAsia="Times New Roman" w:hAnsi="Times New Roman" w:cs="Times New Roman"/>
          <w:lang w:val="en-GB"/>
        </w:rPr>
        <w:t xml:space="preserve"> HER2</w:t>
      </w:r>
      <w:r>
        <w:rPr>
          <w:rFonts w:ascii="Times New Roman" w:eastAsia="Times New Roman" w:hAnsi="Times New Roman" w:cs="Times New Roman"/>
          <w:lang w:val="en-GB"/>
        </w:rPr>
        <w:t>-</w:t>
      </w:r>
      <w:r w:rsidRPr="002A28CE">
        <w:rPr>
          <w:rFonts w:ascii="Times New Roman" w:eastAsia="Times New Roman" w:hAnsi="Times New Roman" w:cs="Times New Roman"/>
          <w:lang w:val="en-GB"/>
        </w:rPr>
        <w:t>positive early stage breast cancer</w:t>
      </w:r>
      <w:r>
        <w:rPr>
          <w:rFonts w:ascii="Times New Roman" w:eastAsia="Times New Roman" w:hAnsi="Times New Roman" w:cs="Times New Roman"/>
          <w:lang w:val="en-GB"/>
        </w:rPr>
        <w:t xml:space="preserve"> and the</w:t>
      </w:r>
      <w:r w:rsidRPr="004D391E">
        <w:rPr>
          <w:rFonts w:ascii="Times New Roman" w:eastAsia="Times New Roman" w:hAnsi="Times New Roman" w:cs="Times New Roman"/>
        </w:rPr>
        <w:t xml:space="preserve"> Company’s clinical trials and the announcement of data relative to these trials. All forward-looking statements included in this press release involve risks and uncertainties that could </w:t>
      </w:r>
      <w:proofErr w:type="gramStart"/>
      <w:r w:rsidRPr="004D391E">
        <w:rPr>
          <w:rFonts w:ascii="Times New Roman" w:eastAsia="Times New Roman" w:hAnsi="Times New Roman" w:cs="Times New Roman"/>
        </w:rPr>
        <w:t>cause</w:t>
      </w:r>
      <w:proofErr w:type="gramEnd"/>
      <w:r w:rsidRPr="004D391E">
        <w:rPr>
          <w:rFonts w:ascii="Times New Roman" w:eastAsia="Times New Roman" w:hAnsi="Times New Roman" w:cs="Times New Roman"/>
        </w:rPr>
        <w:t xml:space="preserve"> the Company’s actual results to differ materially from the anticipated results and expectations expressed in these forward-looking statements. These statements are based on current expectations, forecasts and assumptions, and actual outcomes and results could differ materially from these statements due to a number of factors, which include, but are not limited to, the fact that the Company has no product revenue and no products approved for marketing, the Company’s dependence on PB272, which is still under development and may never receive regulatory approval, the challenges associated with conducting and enrolling clinical trials, the risk that the results of clinical trials may not support the Company’s drug candidate claims, even if approved, the risk that physicians and patients may not accept or use the Company’s products, the Company’s reliance on third parties to conduct its clinical trials and to formulate and manufacture its drug candidates, the Company’s dependence on licensed intellectual property, and the other risk factors disclosed in the periodic reports filed by the Company with the Securities and Exchange Commission from time to time, including the Company’s Annual Report on Form 10-K for the year ended December 31, 201</w:t>
      </w:r>
      <w:r>
        <w:rPr>
          <w:rFonts w:ascii="Times New Roman" w:eastAsia="Times New Roman" w:hAnsi="Times New Roman" w:cs="Times New Roman"/>
        </w:rPr>
        <w:t>6</w:t>
      </w:r>
      <w:r w:rsidRPr="004D391E">
        <w:rPr>
          <w:rFonts w:ascii="Times New Roman" w:eastAsia="Times New Roman" w:hAnsi="Times New Roman" w:cs="Times New Roman"/>
        </w:rPr>
        <w:t>. Readers are cautioned not to place undue reliance on these forward-looking statements, which speak only as of the date hereof. The Company assumes no obligation to update these forward-looking statements, except as required by law.</w:t>
      </w:r>
    </w:p>
    <w:p w:rsidR="004D391E" w:rsidRDefault="00F376BA" w:rsidP="004D391E">
      <w:pPr>
        <w:autoSpaceDE/>
        <w:autoSpaceDN/>
        <w:adjustRightInd/>
        <w:spacing w:after="0" w:line="240" w:lineRule="auto"/>
        <w:ind w:left="90" w:right="-20"/>
        <w:jc w:val="both"/>
        <w:rPr>
          <w:rFonts w:ascii="Times New Roman" w:eastAsia="Times New Roman" w:hAnsi="Times New Roman" w:cs="Times New Roman"/>
          <w:b/>
          <w:sz w:val="24"/>
          <w:szCs w:val="24"/>
        </w:rPr>
      </w:pPr>
    </w:p>
    <w:p w:rsidR="004D391E" w:rsidRPr="004D391E" w:rsidRDefault="00131273" w:rsidP="004D391E">
      <w:pPr>
        <w:autoSpaceDE/>
        <w:autoSpaceDN/>
        <w:adjustRightInd/>
        <w:spacing w:after="60" w:line="240" w:lineRule="auto"/>
        <w:ind w:right="1085"/>
        <w:rPr>
          <w:rFonts w:ascii="Times New Roman" w:eastAsia="Times New Roman" w:hAnsi="Times New Roman" w:cs="Times New Roman"/>
          <w:b/>
        </w:rPr>
      </w:pPr>
      <w:r w:rsidRPr="004D391E">
        <w:rPr>
          <w:rFonts w:ascii="Times New Roman" w:eastAsia="Times New Roman" w:hAnsi="Times New Roman" w:cs="Times New Roman"/>
          <w:b/>
        </w:rPr>
        <w:t>Contact:</w:t>
      </w:r>
    </w:p>
    <w:p w:rsidR="004D391E" w:rsidRPr="004D391E" w:rsidRDefault="00131273" w:rsidP="004D391E">
      <w:pPr>
        <w:autoSpaceDE/>
        <w:autoSpaceDN/>
        <w:adjustRightInd/>
        <w:spacing w:after="60" w:line="240" w:lineRule="auto"/>
        <w:ind w:right="1085"/>
        <w:rPr>
          <w:rFonts w:ascii="Times New Roman" w:eastAsia="Times New Roman" w:hAnsi="Times New Roman" w:cs="Times New Roman"/>
        </w:rPr>
      </w:pPr>
      <w:r w:rsidRPr="004D391E">
        <w:rPr>
          <w:rFonts w:ascii="Times New Roman" w:eastAsia="Times New Roman" w:hAnsi="Times New Roman" w:cs="Times New Roman"/>
        </w:rPr>
        <w:t xml:space="preserve">Alan H. Auerbach or Mariann </w:t>
      </w:r>
      <w:proofErr w:type="spellStart"/>
      <w:r w:rsidRPr="004D391E">
        <w:rPr>
          <w:rFonts w:ascii="Times New Roman" w:eastAsia="Times New Roman" w:hAnsi="Times New Roman" w:cs="Times New Roman"/>
        </w:rPr>
        <w:t>Ohanesian</w:t>
      </w:r>
      <w:proofErr w:type="spellEnd"/>
      <w:r w:rsidRPr="004D391E">
        <w:rPr>
          <w:rFonts w:ascii="Times New Roman" w:eastAsia="Times New Roman" w:hAnsi="Times New Roman" w:cs="Times New Roman"/>
        </w:rPr>
        <w:t xml:space="preserve">, Puma Biotechnology, Inc., +1 424 248 6500 </w:t>
      </w:r>
    </w:p>
    <w:p w:rsidR="004D391E" w:rsidRPr="004D391E" w:rsidRDefault="00F376BA" w:rsidP="004D391E">
      <w:pPr>
        <w:autoSpaceDE/>
        <w:autoSpaceDN/>
        <w:adjustRightInd/>
        <w:spacing w:after="60" w:line="240" w:lineRule="auto"/>
        <w:ind w:right="1085"/>
        <w:rPr>
          <w:rFonts w:ascii="Times New Roman" w:eastAsia="Times New Roman" w:hAnsi="Times New Roman" w:cs="Times New Roman"/>
        </w:rPr>
      </w:pPr>
      <w:hyperlink r:id="rId9" w:history="1">
        <w:r w:rsidR="00131273" w:rsidRPr="00A93667">
          <w:rPr>
            <w:rStyle w:val="Hyperlink"/>
            <w:rFonts w:ascii="Times New Roman" w:eastAsia="Times New Roman" w:hAnsi="Times New Roman" w:cs="Times New Roman"/>
          </w:rPr>
          <w:t>info@pumabiotechnology.com</w:t>
        </w:r>
      </w:hyperlink>
      <w:r w:rsidR="00131273">
        <w:rPr>
          <w:rFonts w:ascii="Times New Roman" w:eastAsia="Times New Roman" w:hAnsi="Times New Roman" w:cs="Times New Roman"/>
        </w:rPr>
        <w:t xml:space="preserve"> </w:t>
      </w:r>
    </w:p>
    <w:p w:rsidR="004D391E" w:rsidRPr="004D391E" w:rsidRDefault="00F376BA" w:rsidP="004D391E">
      <w:pPr>
        <w:autoSpaceDE/>
        <w:autoSpaceDN/>
        <w:adjustRightInd/>
        <w:spacing w:after="60" w:line="240" w:lineRule="auto"/>
        <w:ind w:right="1085"/>
        <w:rPr>
          <w:rFonts w:ascii="Times New Roman" w:eastAsia="Times New Roman" w:hAnsi="Times New Roman" w:cs="Times New Roman"/>
        </w:rPr>
      </w:pPr>
      <w:hyperlink r:id="rId10" w:history="1">
        <w:r w:rsidR="00131273" w:rsidRPr="00A93667">
          <w:rPr>
            <w:rStyle w:val="Hyperlink"/>
            <w:rFonts w:ascii="Times New Roman" w:eastAsia="Times New Roman" w:hAnsi="Times New Roman" w:cs="Times New Roman"/>
          </w:rPr>
          <w:t>ir@pumabiotechnology.com</w:t>
        </w:r>
      </w:hyperlink>
      <w:r w:rsidR="00131273">
        <w:rPr>
          <w:rFonts w:ascii="Times New Roman" w:eastAsia="Times New Roman" w:hAnsi="Times New Roman" w:cs="Times New Roman"/>
        </w:rPr>
        <w:t xml:space="preserve"> </w:t>
      </w:r>
    </w:p>
    <w:p w:rsidR="004D391E" w:rsidRPr="004D391E" w:rsidRDefault="00F376BA" w:rsidP="004D391E">
      <w:pPr>
        <w:autoSpaceDE/>
        <w:autoSpaceDN/>
        <w:adjustRightInd/>
        <w:spacing w:after="60" w:line="240" w:lineRule="auto"/>
        <w:ind w:right="1085"/>
        <w:rPr>
          <w:rFonts w:ascii="Times New Roman" w:eastAsia="Times New Roman" w:hAnsi="Times New Roman" w:cs="Times New Roman"/>
        </w:rPr>
      </w:pPr>
    </w:p>
    <w:p w:rsidR="004D391E" w:rsidRPr="004D391E" w:rsidRDefault="00131273" w:rsidP="004D391E">
      <w:pPr>
        <w:autoSpaceDE/>
        <w:autoSpaceDN/>
        <w:adjustRightInd/>
        <w:spacing w:after="60" w:line="240" w:lineRule="auto"/>
        <w:ind w:right="1085"/>
        <w:rPr>
          <w:rFonts w:ascii="Times New Roman" w:eastAsia="Times New Roman" w:hAnsi="Times New Roman" w:cs="Times New Roman"/>
        </w:rPr>
      </w:pPr>
      <w:r w:rsidRPr="004D391E">
        <w:rPr>
          <w:rFonts w:ascii="Times New Roman" w:eastAsia="Times New Roman" w:hAnsi="Times New Roman" w:cs="Times New Roman"/>
        </w:rPr>
        <w:t>David Schull or Darren Chia, Russo Partners, +1 212 845 4226</w:t>
      </w:r>
    </w:p>
    <w:p w:rsidR="004D391E" w:rsidRPr="004D391E" w:rsidRDefault="00F376BA" w:rsidP="004D391E">
      <w:pPr>
        <w:autoSpaceDE/>
        <w:autoSpaceDN/>
        <w:adjustRightInd/>
        <w:spacing w:after="60" w:line="240" w:lineRule="auto"/>
        <w:ind w:right="1085"/>
        <w:rPr>
          <w:rFonts w:ascii="Times New Roman" w:eastAsia="Times New Roman" w:hAnsi="Times New Roman" w:cs="Times New Roman"/>
        </w:rPr>
      </w:pPr>
      <w:hyperlink r:id="rId11" w:history="1">
        <w:r w:rsidR="00131273" w:rsidRPr="00A93667">
          <w:rPr>
            <w:rStyle w:val="Hyperlink"/>
            <w:rFonts w:ascii="Times New Roman" w:eastAsia="Times New Roman" w:hAnsi="Times New Roman" w:cs="Times New Roman"/>
          </w:rPr>
          <w:t>david.schull@russopartnersllc.com</w:t>
        </w:r>
      </w:hyperlink>
      <w:r w:rsidR="00131273">
        <w:rPr>
          <w:rFonts w:ascii="Times New Roman" w:eastAsia="Times New Roman" w:hAnsi="Times New Roman" w:cs="Times New Roman"/>
        </w:rPr>
        <w:t xml:space="preserve"> </w:t>
      </w:r>
    </w:p>
    <w:p w:rsidR="00885F77" w:rsidRDefault="00F376BA" w:rsidP="004D391E">
      <w:pPr>
        <w:autoSpaceDE/>
        <w:autoSpaceDN/>
        <w:adjustRightInd/>
        <w:spacing w:after="60" w:line="240" w:lineRule="auto"/>
        <w:ind w:right="1085"/>
        <w:rPr>
          <w:rFonts w:ascii="Times New Roman" w:eastAsia="Times New Roman" w:hAnsi="Times New Roman" w:cs="Times New Roman"/>
        </w:rPr>
      </w:pPr>
      <w:hyperlink r:id="rId12" w:history="1">
        <w:r w:rsidR="00131273" w:rsidRPr="00DB3361">
          <w:rPr>
            <w:rStyle w:val="Hyperlink"/>
            <w:rFonts w:ascii="Times New Roman" w:eastAsia="Times New Roman" w:hAnsi="Times New Roman" w:cs="Times New Roman"/>
          </w:rPr>
          <w:t>darren.chia@russopartnersllc.com</w:t>
        </w:r>
      </w:hyperlink>
    </w:p>
    <w:p w:rsidR="004D391E" w:rsidRPr="004D391E" w:rsidRDefault="00F376BA" w:rsidP="004D391E">
      <w:pPr>
        <w:autoSpaceDE/>
        <w:autoSpaceDN/>
        <w:adjustRightInd/>
        <w:spacing w:after="60" w:line="240" w:lineRule="auto"/>
        <w:ind w:right="1085"/>
        <w:rPr>
          <w:rFonts w:ascii="Times New Roman" w:eastAsia="Times New Roman" w:hAnsi="Times New Roman" w:cs="Times New Roman"/>
        </w:rPr>
      </w:pPr>
    </w:p>
    <w:p w:rsidR="00B2198E" w:rsidRPr="009077F1" w:rsidRDefault="00131273" w:rsidP="00885F77">
      <w:pPr>
        <w:autoSpaceDE/>
        <w:autoSpaceDN/>
        <w:adjustRightInd/>
        <w:spacing w:after="60" w:line="240" w:lineRule="auto"/>
        <w:ind w:right="1085"/>
        <w:jc w:val="center"/>
        <w:rPr>
          <w:rFonts w:ascii="Times New Roman" w:eastAsia="Times New Roman" w:hAnsi="Times New Roman" w:cs="Times New Roman"/>
          <w:b/>
          <w:szCs w:val="24"/>
        </w:rPr>
      </w:pPr>
      <w:r w:rsidRPr="009077F1">
        <w:rPr>
          <w:rFonts w:ascii="Times New Roman" w:eastAsia="Times New Roman" w:hAnsi="Times New Roman" w:cs="Times New Roman"/>
          <w:b/>
          <w:szCs w:val="24"/>
        </w:rPr>
        <w:t xml:space="preserve">                  # # # # #</w:t>
      </w:r>
    </w:p>
    <w:p w:rsidR="00885F77" w:rsidRDefault="00F376BA" w:rsidP="00885F77">
      <w:pPr>
        <w:autoSpaceDE/>
        <w:autoSpaceDN/>
        <w:adjustRightInd/>
        <w:spacing w:after="60" w:line="240" w:lineRule="auto"/>
        <w:ind w:right="1085"/>
        <w:jc w:val="center"/>
        <w:rPr>
          <w:rFonts w:ascii="Times New Roman" w:eastAsia="Times New Roman" w:hAnsi="Times New Roman" w:cs="Times New Roman"/>
          <w:b/>
          <w:sz w:val="16"/>
          <w:szCs w:val="24"/>
        </w:rPr>
      </w:pPr>
    </w:p>
    <w:p w:rsidR="00B2198E" w:rsidRDefault="00131273" w:rsidP="009077F1">
      <w:pPr>
        <w:autoSpaceDE/>
        <w:autoSpaceDN/>
        <w:adjustRightInd/>
        <w:spacing w:after="0" w:line="240" w:lineRule="auto"/>
        <w:jc w:val="center"/>
        <w:rPr>
          <w:rFonts w:ascii="Times New Roman" w:eastAsia="Times New Roman" w:hAnsi="Times New Roman" w:cs="Times New Roman"/>
          <w:b/>
          <w:szCs w:val="24"/>
        </w:rPr>
      </w:pPr>
      <w:r>
        <w:rPr>
          <w:rFonts w:ascii="Times New Roman" w:eastAsia="Times New Roman" w:hAnsi="Times New Roman" w:cs="Times New Roman"/>
          <w:b/>
          <w:szCs w:val="24"/>
        </w:rPr>
        <w:t>(</w:t>
      </w:r>
      <w:r>
        <w:rPr>
          <w:rFonts w:ascii="Times New Roman" w:eastAsia="Times New Roman" w:hAnsi="Times New Roman" w:cs="Times New Roman"/>
          <w:b/>
          <w:i/>
          <w:szCs w:val="24"/>
        </w:rPr>
        <w:t>Financial Tables Follow</w:t>
      </w:r>
      <w:r>
        <w:rPr>
          <w:rFonts w:ascii="Times New Roman" w:eastAsia="Times New Roman" w:hAnsi="Times New Roman" w:cs="Times New Roman"/>
          <w:b/>
          <w:szCs w:val="24"/>
        </w:rPr>
        <w:t>)</w:t>
      </w:r>
    </w:p>
    <w:p w:rsidR="00B2198E" w:rsidRDefault="00F376BA" w:rsidP="00B2198E">
      <w:pPr>
        <w:autoSpaceDE/>
        <w:autoSpaceDN/>
        <w:adjustRightInd/>
        <w:spacing w:after="0" w:line="240" w:lineRule="auto"/>
        <w:ind w:left="100" w:right="-20"/>
        <w:jc w:val="center"/>
        <w:rPr>
          <w:rFonts w:ascii="Times New Roman" w:eastAsia="Times New Roman" w:hAnsi="Times New Roman" w:cs="Times New Roman"/>
          <w:b/>
          <w:szCs w:val="24"/>
        </w:rPr>
      </w:pPr>
    </w:p>
    <w:p w:rsidR="00B2198E" w:rsidRDefault="00F376BA" w:rsidP="00B2198E">
      <w:pPr>
        <w:autoSpaceDE/>
        <w:autoSpaceDN/>
        <w:adjustRightInd/>
        <w:spacing w:after="0" w:line="240" w:lineRule="auto"/>
        <w:ind w:left="100" w:right="-20"/>
        <w:jc w:val="center"/>
        <w:rPr>
          <w:rFonts w:ascii="Times New Roman" w:eastAsia="Times New Roman" w:hAnsi="Times New Roman" w:cs="Times New Roman"/>
          <w:b/>
          <w:szCs w:val="24"/>
        </w:rPr>
      </w:pPr>
    </w:p>
    <w:p w:rsidR="00B2198E" w:rsidRDefault="00F376BA" w:rsidP="00B2198E">
      <w:pPr>
        <w:autoSpaceDE/>
        <w:autoSpaceDN/>
        <w:adjustRightInd/>
        <w:spacing w:after="0" w:line="240" w:lineRule="auto"/>
        <w:ind w:left="100" w:right="-20"/>
        <w:jc w:val="center"/>
        <w:rPr>
          <w:rFonts w:ascii="Times New Roman" w:eastAsia="Times New Roman" w:hAnsi="Times New Roman" w:cs="Times New Roman"/>
          <w:b/>
          <w:szCs w:val="24"/>
        </w:rPr>
      </w:pPr>
    </w:p>
    <w:p w:rsidR="00B2198E" w:rsidRPr="00C56F71" w:rsidRDefault="00F376BA" w:rsidP="00B2198E">
      <w:pPr>
        <w:autoSpaceDE/>
        <w:autoSpaceDN/>
        <w:adjustRightInd/>
        <w:spacing w:after="0" w:line="240" w:lineRule="auto"/>
        <w:ind w:right="-20"/>
        <w:rPr>
          <w:rFonts w:ascii="Times New Roman" w:eastAsia="Times New Roman" w:hAnsi="Times New Roman" w:cs="Times New Roman"/>
          <w:b/>
          <w:szCs w:val="24"/>
        </w:rPr>
      </w:pPr>
    </w:p>
    <w:p w:rsidR="00B2198E" w:rsidRDefault="00F86AE7" w:rsidP="00F86AE7">
      <w:pPr>
        <w:autoSpaceDE/>
        <w:autoSpaceDN/>
        <w:adjustRightInd/>
        <w:spacing w:after="0" w:line="240" w:lineRule="auto"/>
        <w:ind w:right="-20"/>
        <w:jc w:val="center"/>
        <w:rPr>
          <w:rFonts w:ascii="Times New Roman" w:eastAsia="Times New Roman" w:hAnsi="Times New Roman" w:cs="Times New Roman"/>
          <w:b/>
          <w:sz w:val="24"/>
          <w:szCs w:val="24"/>
        </w:rPr>
      </w:pPr>
      <w:r w:rsidRPr="00F86AE7">
        <w:rPr>
          <w:noProof/>
        </w:rPr>
        <w:lastRenderedPageBreak/>
        <w:drawing>
          <wp:inline distT="0" distB="0" distL="0" distR="0" wp14:anchorId="4A596127" wp14:editId="61F0F90C">
            <wp:extent cx="6309360" cy="787047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09360" cy="7870474"/>
                    </a:xfrm>
                    <a:prstGeom prst="rect">
                      <a:avLst/>
                    </a:prstGeom>
                    <a:noFill/>
                    <a:ln>
                      <a:noFill/>
                    </a:ln>
                  </pic:spPr>
                </pic:pic>
              </a:graphicData>
            </a:graphic>
          </wp:inline>
        </w:drawing>
      </w:r>
    </w:p>
    <w:p w:rsidR="005022CD" w:rsidRDefault="00F376BA" w:rsidP="005022CD">
      <w:pPr>
        <w:autoSpaceDE/>
        <w:autoSpaceDN/>
        <w:adjustRightInd/>
        <w:spacing w:after="0" w:line="240" w:lineRule="auto"/>
        <w:ind w:right="-20"/>
        <w:rPr>
          <w:rFonts w:ascii="Times New Roman" w:eastAsia="Times New Roman" w:hAnsi="Times New Roman" w:cs="Times New Roman"/>
          <w:b/>
        </w:rPr>
        <w:sectPr w:rsidR="005022CD" w:rsidSect="001C72F5">
          <w:headerReference w:type="default" r:id="rId14"/>
          <w:footerReference w:type="default" r:id="rId15"/>
          <w:headerReference w:type="first" r:id="rId16"/>
          <w:footerReference w:type="first" r:id="rId17"/>
          <w:pgSz w:w="12240" w:h="15840"/>
          <w:pgMar w:top="1296" w:right="1152" w:bottom="1008" w:left="1152" w:header="720" w:footer="720" w:gutter="0"/>
          <w:cols w:space="720"/>
          <w:noEndnote/>
          <w:docGrid w:linePitch="299"/>
        </w:sectPr>
      </w:pPr>
    </w:p>
    <w:p w:rsidR="005022CD" w:rsidRPr="00CA181C" w:rsidRDefault="00131273" w:rsidP="005022CD">
      <w:pPr>
        <w:autoSpaceDE/>
        <w:autoSpaceDN/>
        <w:adjustRightInd/>
        <w:spacing w:after="0" w:line="240" w:lineRule="auto"/>
        <w:ind w:right="-20"/>
        <w:rPr>
          <w:rFonts w:ascii="Times New Roman" w:eastAsia="Times New Roman" w:hAnsi="Times New Roman" w:cs="Times New Roman"/>
          <w:b/>
          <w:szCs w:val="24"/>
        </w:rPr>
      </w:pPr>
      <w:r>
        <w:rPr>
          <w:rFonts w:ascii="Times New Roman" w:eastAsia="Times New Roman" w:hAnsi="Times New Roman" w:cs="Times New Roman"/>
          <w:b/>
        </w:rPr>
        <w:lastRenderedPageBreak/>
        <w:t>Non-GAAP Financial Measures</w:t>
      </w:r>
    </w:p>
    <w:p w:rsidR="005022CD" w:rsidRPr="006E7A09" w:rsidRDefault="00F376BA" w:rsidP="005022CD">
      <w:pPr>
        <w:widowControl/>
        <w:autoSpaceDE/>
        <w:autoSpaceDN/>
        <w:adjustRightInd/>
        <w:spacing w:after="0" w:line="240" w:lineRule="auto"/>
        <w:rPr>
          <w:rFonts w:ascii="Times New Roman" w:eastAsia="Times New Roman" w:hAnsi="Times New Roman" w:cs="Times New Roman"/>
          <w:b/>
        </w:rPr>
      </w:pPr>
    </w:p>
    <w:p w:rsidR="00F84254" w:rsidRPr="00F84254" w:rsidRDefault="00F84254" w:rsidP="00EC7343">
      <w:pPr>
        <w:widowControl/>
        <w:spacing w:after="0" w:line="240" w:lineRule="auto"/>
        <w:jc w:val="both"/>
        <w:rPr>
          <w:rFonts w:ascii="Times New Roman" w:eastAsia="Times New Roman" w:hAnsi="Times New Roman" w:cs="Times New Roman"/>
        </w:rPr>
      </w:pPr>
      <w:r w:rsidRPr="00F84254">
        <w:rPr>
          <w:rFonts w:ascii="Times New Roman" w:hAnsi="Times New Roman" w:cs="Times New Roman"/>
        </w:rPr>
        <w:t>In ad</w:t>
      </w:r>
      <w:r w:rsidR="00EC7343">
        <w:rPr>
          <w:rFonts w:ascii="Times New Roman" w:hAnsi="Times New Roman" w:cs="Times New Roman"/>
        </w:rPr>
        <w:t>dition to operating results</w:t>
      </w:r>
      <w:r w:rsidRPr="00F84254">
        <w:rPr>
          <w:rFonts w:ascii="Times New Roman" w:hAnsi="Times New Roman" w:cs="Times New Roman"/>
        </w:rPr>
        <w:t xml:space="preserve"> as calculated in accordance with generally accepted accounting principles, or GAAP, </w:t>
      </w:r>
      <w:r w:rsidR="00EC7343">
        <w:rPr>
          <w:rFonts w:ascii="Times New Roman" w:hAnsi="Times New Roman" w:cs="Times New Roman"/>
        </w:rPr>
        <w:t>the Company</w:t>
      </w:r>
      <w:r w:rsidRPr="00F84254">
        <w:rPr>
          <w:rFonts w:ascii="Times New Roman" w:hAnsi="Times New Roman" w:cs="Times New Roman"/>
        </w:rPr>
        <w:t xml:space="preserve"> use</w:t>
      </w:r>
      <w:r w:rsidR="00EC7343">
        <w:rPr>
          <w:rFonts w:ascii="Times New Roman" w:hAnsi="Times New Roman" w:cs="Times New Roman"/>
        </w:rPr>
        <w:t>s</w:t>
      </w:r>
      <w:r>
        <w:rPr>
          <w:rFonts w:ascii="Times New Roman" w:hAnsi="Times New Roman" w:cs="Times New Roman"/>
        </w:rPr>
        <w:t xml:space="preserve"> </w:t>
      </w:r>
      <w:r w:rsidRPr="00F84254">
        <w:rPr>
          <w:rFonts w:ascii="Times New Roman" w:hAnsi="Times New Roman" w:cs="Times New Roman"/>
        </w:rPr>
        <w:t>certain non-GAAP financial measures when planning, monitoring, and evaluating operational performance. The following table</w:t>
      </w:r>
      <w:r>
        <w:rPr>
          <w:rFonts w:ascii="Times New Roman" w:hAnsi="Times New Roman" w:cs="Times New Roman"/>
        </w:rPr>
        <w:t xml:space="preserve"> </w:t>
      </w:r>
      <w:r w:rsidRPr="00F84254">
        <w:rPr>
          <w:rFonts w:ascii="Times New Roman" w:hAnsi="Times New Roman" w:cs="Times New Roman"/>
        </w:rPr>
        <w:t xml:space="preserve">presents </w:t>
      </w:r>
      <w:r w:rsidR="00EC7343">
        <w:rPr>
          <w:rFonts w:ascii="Times New Roman" w:hAnsi="Times New Roman" w:cs="Times New Roman"/>
        </w:rPr>
        <w:t>the Company’s</w:t>
      </w:r>
      <w:r w:rsidRPr="00F84254">
        <w:rPr>
          <w:rFonts w:ascii="Times New Roman" w:hAnsi="Times New Roman" w:cs="Times New Roman"/>
        </w:rPr>
        <w:t xml:space="preserve"> </w:t>
      </w:r>
      <w:r w:rsidR="00B97D0E">
        <w:rPr>
          <w:rFonts w:ascii="Times New Roman" w:hAnsi="Times New Roman" w:cs="Times New Roman"/>
        </w:rPr>
        <w:t>net loss and net loss per share</w:t>
      </w:r>
      <w:r w:rsidRPr="00F84254">
        <w:rPr>
          <w:rFonts w:ascii="Times New Roman" w:hAnsi="Times New Roman" w:cs="Times New Roman"/>
        </w:rPr>
        <w:t xml:space="preserve"> cal</w:t>
      </w:r>
      <w:r w:rsidR="00B97D0E">
        <w:rPr>
          <w:rFonts w:ascii="Times New Roman" w:hAnsi="Times New Roman" w:cs="Times New Roman"/>
        </w:rPr>
        <w:t>culated in accordance with GAAP and</w:t>
      </w:r>
      <w:r w:rsidRPr="00F84254">
        <w:rPr>
          <w:rFonts w:ascii="Times New Roman" w:hAnsi="Times New Roman" w:cs="Times New Roman"/>
        </w:rPr>
        <w:t xml:space="preserve"> as adjusted to remove the impact of employee</w:t>
      </w:r>
      <w:r>
        <w:rPr>
          <w:rFonts w:ascii="Times New Roman" w:hAnsi="Times New Roman" w:cs="Times New Roman"/>
        </w:rPr>
        <w:t xml:space="preserve"> </w:t>
      </w:r>
      <w:r w:rsidRPr="00F84254">
        <w:rPr>
          <w:rFonts w:ascii="Times New Roman" w:hAnsi="Times New Roman" w:cs="Times New Roman"/>
        </w:rPr>
        <w:t>stock-based compensation. For the three and twelve months ended December 31, 2016, stock-based compensation represented</w:t>
      </w:r>
      <w:r>
        <w:rPr>
          <w:rFonts w:ascii="Times New Roman" w:hAnsi="Times New Roman" w:cs="Times New Roman"/>
        </w:rPr>
        <w:t xml:space="preserve"> </w:t>
      </w:r>
      <w:r w:rsidRPr="00F84254">
        <w:rPr>
          <w:rFonts w:ascii="Times New Roman" w:hAnsi="Times New Roman" w:cs="Times New Roman"/>
        </w:rPr>
        <w:t xml:space="preserve">approximately 40.4% and 42.5% of net loss, respectively. Although net loss is important to measure financial performance, </w:t>
      </w:r>
      <w:r w:rsidR="00EC7343">
        <w:rPr>
          <w:rFonts w:ascii="Times New Roman" w:hAnsi="Times New Roman" w:cs="Times New Roman"/>
        </w:rPr>
        <w:t xml:space="preserve">the Company </w:t>
      </w:r>
      <w:r w:rsidRPr="00F84254">
        <w:rPr>
          <w:rFonts w:ascii="Times New Roman" w:hAnsi="Times New Roman" w:cs="Times New Roman"/>
        </w:rPr>
        <w:t>currently place</w:t>
      </w:r>
      <w:r w:rsidR="00EC7343">
        <w:rPr>
          <w:rFonts w:ascii="Times New Roman" w:hAnsi="Times New Roman" w:cs="Times New Roman"/>
        </w:rPr>
        <w:t>s</w:t>
      </w:r>
      <w:r w:rsidRPr="00F84254">
        <w:rPr>
          <w:rFonts w:ascii="Times New Roman" w:hAnsi="Times New Roman" w:cs="Times New Roman"/>
        </w:rPr>
        <w:t xml:space="preserve"> an emphasis on cash burn and, more specifically, cash used in operations. </w:t>
      </w:r>
      <w:r w:rsidR="00B97D0E">
        <w:rPr>
          <w:rFonts w:ascii="Times New Roman" w:hAnsi="Times New Roman" w:cs="Times New Roman"/>
        </w:rPr>
        <w:t>S</w:t>
      </w:r>
      <w:r w:rsidRPr="00F84254">
        <w:rPr>
          <w:rFonts w:ascii="Times New Roman" w:hAnsi="Times New Roman" w:cs="Times New Roman"/>
        </w:rPr>
        <w:t>tock-based compensation appears</w:t>
      </w:r>
      <w:r>
        <w:rPr>
          <w:rFonts w:ascii="Times New Roman" w:hAnsi="Times New Roman" w:cs="Times New Roman"/>
        </w:rPr>
        <w:t xml:space="preserve"> </w:t>
      </w:r>
      <w:r w:rsidRPr="00F84254">
        <w:rPr>
          <w:rFonts w:ascii="Times New Roman" w:hAnsi="Times New Roman" w:cs="Times New Roman"/>
        </w:rPr>
        <w:t>in GAAP net loss but is re</w:t>
      </w:r>
      <w:r w:rsidR="00EC7343">
        <w:rPr>
          <w:rFonts w:ascii="Times New Roman" w:hAnsi="Times New Roman" w:cs="Times New Roman"/>
        </w:rPr>
        <w:t>moved from net loss to arrive at</w:t>
      </w:r>
      <w:r w:rsidRPr="00F84254">
        <w:rPr>
          <w:rFonts w:ascii="Times New Roman" w:hAnsi="Times New Roman" w:cs="Times New Roman"/>
        </w:rPr>
        <w:t xml:space="preserve"> cash used in operations </w:t>
      </w:r>
      <w:r w:rsidR="00B97D0E">
        <w:rPr>
          <w:rFonts w:ascii="Times New Roman" w:hAnsi="Times New Roman" w:cs="Times New Roman"/>
        </w:rPr>
        <w:t>on the statement of cash flows.</w:t>
      </w:r>
      <w:r w:rsidRPr="00F84254">
        <w:rPr>
          <w:rFonts w:ascii="Times New Roman" w:hAnsi="Times New Roman" w:cs="Times New Roman"/>
        </w:rPr>
        <w:t xml:space="preserve"> </w:t>
      </w:r>
      <w:r w:rsidR="00B97D0E">
        <w:rPr>
          <w:rFonts w:ascii="Times New Roman" w:hAnsi="Times New Roman" w:cs="Times New Roman"/>
        </w:rPr>
        <w:t>D</w:t>
      </w:r>
      <w:r w:rsidRPr="00F84254">
        <w:rPr>
          <w:rFonts w:ascii="Times New Roman" w:hAnsi="Times New Roman" w:cs="Times New Roman"/>
        </w:rPr>
        <w:t>ue to its noncash</w:t>
      </w:r>
      <w:r>
        <w:rPr>
          <w:rFonts w:ascii="Times New Roman" w:hAnsi="Times New Roman" w:cs="Times New Roman"/>
        </w:rPr>
        <w:t xml:space="preserve"> </w:t>
      </w:r>
      <w:r w:rsidRPr="00F84254">
        <w:rPr>
          <w:rFonts w:ascii="Times New Roman" w:hAnsi="Times New Roman" w:cs="Times New Roman"/>
        </w:rPr>
        <w:t xml:space="preserve">nature, </w:t>
      </w:r>
      <w:r w:rsidR="00EC7343">
        <w:rPr>
          <w:rFonts w:ascii="Times New Roman" w:hAnsi="Times New Roman" w:cs="Times New Roman"/>
        </w:rPr>
        <w:t>the Company</w:t>
      </w:r>
      <w:r w:rsidRPr="00F84254">
        <w:rPr>
          <w:rFonts w:ascii="Times New Roman" w:hAnsi="Times New Roman" w:cs="Times New Roman"/>
        </w:rPr>
        <w:t xml:space="preserve"> believe</w:t>
      </w:r>
      <w:r w:rsidR="00EC7343">
        <w:rPr>
          <w:rFonts w:ascii="Times New Roman" w:hAnsi="Times New Roman" w:cs="Times New Roman"/>
        </w:rPr>
        <w:t>s</w:t>
      </w:r>
      <w:r w:rsidRPr="00F84254">
        <w:rPr>
          <w:rFonts w:ascii="Times New Roman" w:hAnsi="Times New Roman" w:cs="Times New Roman"/>
        </w:rPr>
        <w:t xml:space="preserve"> these non-GAAP measures enhance understanding of financial performance, are more indicative of operational performance and facilitate a better comparison among fiscal periods. These non-GAAP financial measures are not, and</w:t>
      </w:r>
      <w:r>
        <w:rPr>
          <w:rFonts w:ascii="Times New Roman" w:hAnsi="Times New Roman" w:cs="Times New Roman"/>
        </w:rPr>
        <w:t xml:space="preserve"> </w:t>
      </w:r>
      <w:r w:rsidRPr="00F84254">
        <w:rPr>
          <w:rFonts w:ascii="Times New Roman" w:hAnsi="Times New Roman" w:cs="Times New Roman"/>
        </w:rPr>
        <w:t>should not be viewed as, substitutes for GAAP reporting measures.</w:t>
      </w:r>
      <w:r w:rsidRPr="00F84254" w:rsidDel="00F84254">
        <w:rPr>
          <w:rFonts w:ascii="Times New Roman" w:eastAsia="Times New Roman" w:hAnsi="Times New Roman" w:cs="Times New Roman"/>
        </w:rPr>
        <w:t xml:space="preserve"> </w:t>
      </w:r>
    </w:p>
    <w:p w:rsidR="00ED6926" w:rsidRDefault="00ED6926" w:rsidP="001B7619">
      <w:pPr>
        <w:widowControl/>
        <w:autoSpaceDE/>
        <w:autoSpaceDN/>
        <w:adjustRightInd/>
        <w:spacing w:after="0" w:line="240" w:lineRule="auto"/>
        <w:jc w:val="center"/>
        <w:rPr>
          <w:rFonts w:ascii="Times New Roman" w:eastAsia="Times New Roman" w:hAnsi="Times New Roman" w:cs="Times New Roman"/>
        </w:rPr>
      </w:pPr>
    </w:p>
    <w:p w:rsidR="001B7619" w:rsidRDefault="00F86AE7" w:rsidP="001B7619">
      <w:pPr>
        <w:widowControl/>
        <w:autoSpaceDE/>
        <w:autoSpaceDN/>
        <w:adjustRightInd/>
        <w:spacing w:after="0" w:line="240" w:lineRule="auto"/>
        <w:jc w:val="center"/>
        <w:rPr>
          <w:rFonts w:ascii="Times New Roman" w:eastAsia="Times New Roman" w:hAnsi="Times New Roman" w:cs="Times New Roman"/>
        </w:rPr>
      </w:pPr>
      <w:r w:rsidRPr="00F86AE7">
        <w:rPr>
          <w:noProof/>
        </w:rPr>
        <w:drawing>
          <wp:inline distT="0" distB="0" distL="0" distR="0" wp14:anchorId="07AD57A3" wp14:editId="2007B759">
            <wp:extent cx="5112482" cy="615457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112524" cy="6154623"/>
                    </a:xfrm>
                    <a:prstGeom prst="rect">
                      <a:avLst/>
                    </a:prstGeom>
                    <a:noFill/>
                    <a:ln>
                      <a:noFill/>
                    </a:ln>
                  </pic:spPr>
                </pic:pic>
              </a:graphicData>
            </a:graphic>
          </wp:inline>
        </w:drawing>
      </w:r>
    </w:p>
    <w:sectPr w:rsidR="001B7619" w:rsidSect="009F4FF1">
      <w:pgSz w:w="12240" w:h="15840"/>
      <w:pgMar w:top="1008" w:right="1152" w:bottom="230" w:left="1152"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022D" w:rsidRDefault="00131273">
      <w:pPr>
        <w:spacing w:after="0" w:line="240" w:lineRule="auto"/>
      </w:pPr>
      <w:r>
        <w:separator/>
      </w:r>
    </w:p>
  </w:endnote>
  <w:endnote w:type="continuationSeparator" w:id="0">
    <w:p w:rsidR="00EE022D" w:rsidRDefault="001312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98E" w:rsidRDefault="00F376BA">
    <w:pPr>
      <w:autoSpaceDE/>
      <w:autoSpaceDN/>
      <w:adjustRightInd/>
      <w:rPr>
        <w:rFonts w:eastAsia="Times New Roman" w:cs="Times New Roman"/>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98E" w:rsidRDefault="00131273">
    <w:pPr>
      <w:pStyle w:val="Footer"/>
      <w:autoSpaceDE/>
      <w:autoSpaceDN/>
      <w:adjustRightInd/>
      <w:rPr>
        <w:rFonts w:eastAsia="Times New Roman" w:cs="Times New Roman"/>
        <w:noProof/>
        <w:szCs w:val="24"/>
      </w:rPr>
    </w:pPr>
    <w:r>
      <w:rPr>
        <w:rFonts w:eastAsia="Times New Roman" w:cs="Times New Roman"/>
        <w:noProof/>
        <w:szCs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022D" w:rsidRDefault="00131273">
      <w:pPr>
        <w:spacing w:after="0" w:line="240" w:lineRule="auto"/>
      </w:pPr>
      <w:r>
        <w:separator/>
      </w:r>
    </w:p>
  </w:footnote>
  <w:footnote w:type="continuationSeparator" w:id="0">
    <w:p w:rsidR="00EE022D" w:rsidRDefault="001312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98E" w:rsidRDefault="00131273">
    <w:pPr>
      <w:pStyle w:val="Header"/>
      <w:autoSpaceDE/>
      <w:autoSpaceDN/>
      <w:adjustRightInd/>
      <w:rPr>
        <w:rFonts w:eastAsia="Times New Roman" w:cs="Times New Roman"/>
        <w:noProof/>
        <w:szCs w:val="24"/>
      </w:rPr>
    </w:pPr>
    <w:r>
      <w:rPr>
        <w:rFonts w:eastAsia="Times New Roman" w:cs="Times New Roman"/>
        <w:noProof/>
        <w:szCs w:val="24"/>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98E" w:rsidRDefault="00131273">
    <w:pPr>
      <w:pStyle w:val="Header"/>
      <w:autoSpaceDE/>
      <w:autoSpaceDN/>
      <w:adjustRightInd/>
      <w:rPr>
        <w:rFonts w:eastAsia="Times New Roman" w:cs="Times New Roman"/>
        <w:noProof/>
        <w:szCs w:val="24"/>
      </w:rPr>
    </w:pPr>
    <w:r>
      <w:rPr>
        <w:rFonts w:eastAsia="Times New Roman" w:cs="Times New Roman"/>
        <w:noProof/>
        <w:szCs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F20A8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293533B"/>
    <w:multiLevelType w:val="hybridMultilevel"/>
    <w:tmpl w:val="75A8467E"/>
    <w:lvl w:ilvl="0" w:tplc="B3649882">
      <w:start w:val="1"/>
      <w:numFmt w:val="bullet"/>
      <w:lvlText w:val="•"/>
      <w:lvlJc w:val="left"/>
      <w:pPr>
        <w:tabs>
          <w:tab w:val="left" w:pos="720"/>
        </w:tabs>
        <w:ind w:left="720" w:hanging="360"/>
      </w:pPr>
      <w:rPr>
        <w:rFonts w:ascii="Arial" w:hAnsi="Arial"/>
        <w:strike w:val="0"/>
        <w:dstrike w:val="0"/>
      </w:rPr>
    </w:lvl>
    <w:lvl w:ilvl="1" w:tplc="28C69F8A">
      <w:start w:val="1"/>
      <w:numFmt w:val="bullet"/>
      <w:lvlText w:val="•"/>
      <w:lvlJc w:val="left"/>
      <w:pPr>
        <w:tabs>
          <w:tab w:val="left" w:pos="1440"/>
        </w:tabs>
        <w:ind w:left="1440" w:hanging="360"/>
      </w:pPr>
      <w:rPr>
        <w:rFonts w:ascii="Arial" w:hAnsi="Arial"/>
        <w:strike w:val="0"/>
        <w:dstrike w:val="0"/>
      </w:rPr>
    </w:lvl>
    <w:lvl w:ilvl="2" w:tplc="22104CD2">
      <w:start w:val="1"/>
      <w:numFmt w:val="bullet"/>
      <w:lvlText w:val="•"/>
      <w:lvlJc w:val="left"/>
      <w:pPr>
        <w:tabs>
          <w:tab w:val="left" w:pos="2160"/>
        </w:tabs>
        <w:ind w:left="2160" w:hanging="360"/>
      </w:pPr>
      <w:rPr>
        <w:rFonts w:ascii="Arial" w:hAnsi="Arial"/>
        <w:strike w:val="0"/>
        <w:dstrike w:val="0"/>
      </w:rPr>
    </w:lvl>
    <w:lvl w:ilvl="3" w:tplc="62220D6A">
      <w:start w:val="1"/>
      <w:numFmt w:val="bullet"/>
      <w:lvlText w:val="•"/>
      <w:lvlJc w:val="left"/>
      <w:pPr>
        <w:tabs>
          <w:tab w:val="left" w:pos="2880"/>
        </w:tabs>
        <w:ind w:left="2880" w:hanging="360"/>
      </w:pPr>
      <w:rPr>
        <w:rFonts w:ascii="Arial" w:hAnsi="Arial"/>
        <w:strike w:val="0"/>
        <w:dstrike w:val="0"/>
      </w:rPr>
    </w:lvl>
    <w:lvl w:ilvl="4" w:tplc="1CEA8EB8">
      <w:start w:val="1"/>
      <w:numFmt w:val="bullet"/>
      <w:lvlText w:val="•"/>
      <w:lvlJc w:val="left"/>
      <w:pPr>
        <w:tabs>
          <w:tab w:val="left" w:pos="3600"/>
        </w:tabs>
        <w:ind w:left="3600" w:hanging="360"/>
      </w:pPr>
      <w:rPr>
        <w:rFonts w:ascii="Arial" w:hAnsi="Arial"/>
        <w:strike w:val="0"/>
        <w:dstrike w:val="0"/>
      </w:rPr>
    </w:lvl>
    <w:lvl w:ilvl="5" w:tplc="C842316A">
      <w:start w:val="1"/>
      <w:numFmt w:val="bullet"/>
      <w:lvlText w:val="•"/>
      <w:lvlJc w:val="left"/>
      <w:pPr>
        <w:tabs>
          <w:tab w:val="left" w:pos="4320"/>
        </w:tabs>
        <w:ind w:left="4320" w:hanging="360"/>
      </w:pPr>
      <w:rPr>
        <w:rFonts w:ascii="Arial" w:hAnsi="Arial"/>
        <w:strike w:val="0"/>
        <w:dstrike w:val="0"/>
      </w:rPr>
    </w:lvl>
    <w:lvl w:ilvl="6" w:tplc="1AA6CC54">
      <w:start w:val="1"/>
      <w:numFmt w:val="bullet"/>
      <w:lvlText w:val="•"/>
      <w:lvlJc w:val="left"/>
      <w:pPr>
        <w:tabs>
          <w:tab w:val="left" w:pos="5040"/>
        </w:tabs>
        <w:ind w:left="5040" w:hanging="360"/>
      </w:pPr>
      <w:rPr>
        <w:rFonts w:ascii="Arial" w:hAnsi="Arial"/>
        <w:strike w:val="0"/>
        <w:dstrike w:val="0"/>
      </w:rPr>
    </w:lvl>
    <w:lvl w:ilvl="7" w:tplc="39606A32">
      <w:start w:val="1"/>
      <w:numFmt w:val="bullet"/>
      <w:lvlText w:val="•"/>
      <w:lvlJc w:val="left"/>
      <w:pPr>
        <w:tabs>
          <w:tab w:val="left" w:pos="5760"/>
        </w:tabs>
        <w:ind w:left="5760" w:hanging="360"/>
      </w:pPr>
      <w:rPr>
        <w:rFonts w:ascii="Arial" w:hAnsi="Arial"/>
        <w:strike w:val="0"/>
        <w:dstrike w:val="0"/>
      </w:rPr>
    </w:lvl>
    <w:lvl w:ilvl="8" w:tplc="789444D2">
      <w:start w:val="1"/>
      <w:numFmt w:val="bullet"/>
      <w:lvlText w:val="•"/>
      <w:lvlJc w:val="left"/>
      <w:pPr>
        <w:tabs>
          <w:tab w:val="left" w:pos="6480"/>
        </w:tabs>
        <w:ind w:left="6480" w:hanging="360"/>
      </w:pPr>
      <w:rPr>
        <w:rFonts w:ascii="Arial" w:hAnsi="Arial"/>
        <w:strike w:val="0"/>
        <w:dstrike w:val="0"/>
      </w:rPr>
    </w:lvl>
  </w:abstractNum>
  <w:abstractNum w:abstractNumId="2">
    <w:nsid w:val="36B463BD"/>
    <w:multiLevelType w:val="hybridMultilevel"/>
    <w:tmpl w:val="6F3269A2"/>
    <w:lvl w:ilvl="0" w:tplc="8084B6E0">
      <w:start w:val="1"/>
      <w:numFmt w:val="bullet"/>
      <w:lvlText w:val=""/>
      <w:lvlJc w:val="left"/>
      <w:pPr>
        <w:ind w:left="720" w:hanging="360"/>
      </w:pPr>
      <w:rPr>
        <w:rFonts w:ascii="Symbol" w:hAnsi="Symbol" w:hint="default"/>
      </w:rPr>
    </w:lvl>
    <w:lvl w:ilvl="1" w:tplc="3A52CE84" w:tentative="1">
      <w:start w:val="1"/>
      <w:numFmt w:val="lowerLetter"/>
      <w:lvlText w:val="%2."/>
      <w:lvlJc w:val="left"/>
      <w:pPr>
        <w:ind w:left="1440" w:hanging="360"/>
      </w:pPr>
    </w:lvl>
    <w:lvl w:ilvl="2" w:tplc="1292C62E" w:tentative="1">
      <w:start w:val="1"/>
      <w:numFmt w:val="lowerRoman"/>
      <w:lvlText w:val="%3."/>
      <w:lvlJc w:val="right"/>
      <w:pPr>
        <w:ind w:left="2160" w:hanging="180"/>
      </w:pPr>
    </w:lvl>
    <w:lvl w:ilvl="3" w:tplc="54C44FCE" w:tentative="1">
      <w:start w:val="1"/>
      <w:numFmt w:val="decimal"/>
      <w:lvlText w:val="%4."/>
      <w:lvlJc w:val="left"/>
      <w:pPr>
        <w:ind w:left="2880" w:hanging="360"/>
      </w:pPr>
    </w:lvl>
    <w:lvl w:ilvl="4" w:tplc="F8AC8598" w:tentative="1">
      <w:start w:val="1"/>
      <w:numFmt w:val="lowerLetter"/>
      <w:lvlText w:val="%5."/>
      <w:lvlJc w:val="left"/>
      <w:pPr>
        <w:ind w:left="3600" w:hanging="360"/>
      </w:pPr>
    </w:lvl>
    <w:lvl w:ilvl="5" w:tplc="BC8CBF08" w:tentative="1">
      <w:start w:val="1"/>
      <w:numFmt w:val="lowerRoman"/>
      <w:lvlText w:val="%6."/>
      <w:lvlJc w:val="right"/>
      <w:pPr>
        <w:ind w:left="4320" w:hanging="180"/>
      </w:pPr>
    </w:lvl>
    <w:lvl w:ilvl="6" w:tplc="0A0A98F0" w:tentative="1">
      <w:start w:val="1"/>
      <w:numFmt w:val="decimal"/>
      <w:lvlText w:val="%7."/>
      <w:lvlJc w:val="left"/>
      <w:pPr>
        <w:ind w:left="5040" w:hanging="360"/>
      </w:pPr>
    </w:lvl>
    <w:lvl w:ilvl="7" w:tplc="C4A80544" w:tentative="1">
      <w:start w:val="1"/>
      <w:numFmt w:val="lowerLetter"/>
      <w:lvlText w:val="%8."/>
      <w:lvlJc w:val="left"/>
      <w:pPr>
        <w:ind w:left="5760" w:hanging="360"/>
      </w:pPr>
    </w:lvl>
    <w:lvl w:ilvl="8" w:tplc="441EAA94" w:tentative="1">
      <w:start w:val="1"/>
      <w:numFmt w:val="lowerRoman"/>
      <w:lvlText w:val="%9."/>
      <w:lvlJc w:val="right"/>
      <w:pPr>
        <w:ind w:left="6480" w:hanging="180"/>
      </w:pPr>
    </w:lvl>
  </w:abstractNum>
  <w:num w:numId="1">
    <w:abstractNumId w:val="0"/>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trackRevisions/>
  <w:doNotTrackFormatting/>
  <w:styleLockQFSet/>
  <w:defaultTabStop w:val="720"/>
  <w:drawingGridHorizontalSpacing w:val="110"/>
  <w:displayHorizontalDrawingGridEvery w:val="0"/>
  <w:displayVerticalDrawingGridEvery w:val="3"/>
  <w:doNotUseMarginsForDrawingGridOrigin/>
  <w:drawingGridHorizontalOrigin w:val="1152"/>
  <w:drawingGridVerticalOrigin w:val="1008"/>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22D"/>
    <w:rsid w:val="00131273"/>
    <w:rsid w:val="001537AF"/>
    <w:rsid w:val="002A4D3C"/>
    <w:rsid w:val="003271DB"/>
    <w:rsid w:val="006C79A5"/>
    <w:rsid w:val="006E1C52"/>
    <w:rsid w:val="007D55BB"/>
    <w:rsid w:val="0082495F"/>
    <w:rsid w:val="009F4FF1"/>
    <w:rsid w:val="00AC722D"/>
    <w:rsid w:val="00B97D0E"/>
    <w:rsid w:val="00BC5C47"/>
    <w:rsid w:val="00C704CB"/>
    <w:rsid w:val="00CA468E"/>
    <w:rsid w:val="00EC7343"/>
    <w:rsid w:val="00ED6926"/>
    <w:rsid w:val="00EE022D"/>
    <w:rsid w:val="00F376BA"/>
    <w:rsid w:val="00F84254"/>
    <w:rsid w:val="00F86A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PMingLiU"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200" w:line="276" w:lineRule="auto"/>
    </w:pPr>
    <w:rPr>
      <w:rFonts w:cs="Calibri"/>
      <w:sz w:val="22"/>
      <w:szCs w:val="22"/>
    </w:rPr>
  </w:style>
  <w:style w:type="paragraph" w:styleId="Heading1">
    <w:name w:val="heading 1"/>
    <w:basedOn w:val="Normal"/>
    <w:next w:val="Normal"/>
    <w:link w:val="Heading1Char"/>
    <w:uiPriority w:val="9"/>
    <w:qFormat/>
    <w:rsid w:val="00647FA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647FA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47FA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47FAB"/>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647FAB"/>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47FAB"/>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647FA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47FAB"/>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1-Accent21">
    <w:name w:val="Medium Grid 1 - Accent 21"/>
    <w:basedOn w:val="Normal"/>
    <w:uiPriority w:val="99"/>
    <w:qFormat/>
    <w:pPr>
      <w:ind w:left="720"/>
    </w:pPr>
  </w:style>
  <w:style w:type="paragraph" w:styleId="BalloonText">
    <w:name w:val="Balloon Text"/>
    <w:basedOn w:val="Normal"/>
    <w:link w:val="BalloonTextChar"/>
    <w:uiPriority w:val="99"/>
    <w:pPr>
      <w:spacing w:after="0" w:line="240" w:lineRule="auto"/>
    </w:pPr>
    <w:rPr>
      <w:rFonts w:cs="Times New Roman"/>
      <w:sz w:val="18"/>
      <w:szCs w:val="18"/>
    </w:rPr>
  </w:style>
  <w:style w:type="character" w:customStyle="1" w:styleId="BalloonTextChar">
    <w:name w:val="Balloon Text Char"/>
    <w:link w:val="BalloonText"/>
    <w:uiPriority w:val="99"/>
    <w:rPr>
      <w:sz w:val="18"/>
      <w:szCs w:val="18"/>
    </w:rPr>
  </w:style>
  <w:style w:type="character" w:styleId="Hyperlink">
    <w:name w:val="Hyperlink"/>
    <w:uiPriority w:val="99"/>
    <w:rPr>
      <w:color w:val="0000FF"/>
      <w:u w:val="single"/>
    </w:rPr>
  </w:style>
  <w:style w:type="paragraph" w:styleId="MacroText">
    <w:name w:val="macro"/>
    <w:link w:val="MacroTextChar"/>
    <w:uiPriority w:val="99"/>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line="276" w:lineRule="auto"/>
    </w:pPr>
  </w:style>
  <w:style w:type="character" w:customStyle="1" w:styleId="MacroTextChar">
    <w:name w:val="Macro Text Char"/>
    <w:link w:val="MacroText"/>
    <w:uiPriority w:val="99"/>
    <w:rPr>
      <w:lang w:val="en-US" w:eastAsia="en-US" w:bidi="ar-SA"/>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link w:val="Header"/>
    <w:uiPriority w:val="99"/>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link w:val="Footer"/>
    <w:uiPriority w:val="99"/>
  </w:style>
  <w:style w:type="character" w:styleId="CommentReference">
    <w:name w:val="annotation reference"/>
    <w:uiPriority w:val="99"/>
    <w:rPr>
      <w:sz w:val="16"/>
      <w:szCs w:val="16"/>
    </w:rPr>
  </w:style>
  <w:style w:type="paragraph" w:styleId="CommentText">
    <w:name w:val="annotation text"/>
    <w:basedOn w:val="Normal"/>
    <w:link w:val="CommentTextChar"/>
    <w:uiPriority w:val="99"/>
    <w:pPr>
      <w:spacing w:line="240" w:lineRule="auto"/>
    </w:pPr>
    <w:rPr>
      <w:rFonts w:cs="Times New Roman"/>
      <w:sz w:val="20"/>
      <w:szCs w:val="20"/>
    </w:rPr>
  </w:style>
  <w:style w:type="character" w:customStyle="1" w:styleId="CommentTextChar">
    <w:name w:val="Comment Text Char"/>
    <w:link w:val="CommentText"/>
    <w:uiPriority w:val="99"/>
    <w:rPr>
      <w:sz w:val="20"/>
      <w:szCs w:val="20"/>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link w:val="CommentSubject"/>
    <w:uiPriority w:val="99"/>
    <w:rPr>
      <w:b/>
      <w:bCs/>
      <w:sz w:val="20"/>
      <w:szCs w:val="20"/>
    </w:rPr>
  </w:style>
  <w:style w:type="paragraph" w:customStyle="1" w:styleId="MediumList2-Accent21">
    <w:name w:val="Medium List 2 - Accent 21"/>
    <w:uiPriority w:val="99"/>
    <w:pPr>
      <w:widowControl w:val="0"/>
      <w:autoSpaceDE w:val="0"/>
      <w:autoSpaceDN w:val="0"/>
      <w:adjustRightInd w:val="0"/>
    </w:pPr>
    <w:rPr>
      <w:rFonts w:cs="Calibri"/>
      <w:sz w:val="22"/>
      <w:szCs w:val="22"/>
    </w:rPr>
  </w:style>
  <w:style w:type="paragraph" w:styleId="NormalWeb">
    <w:name w:val="Normal (Web)"/>
    <w:basedOn w:val="Normal"/>
    <w:uiPriority w:val="99"/>
    <w:rPr>
      <w:rFonts w:ascii="Times New Roman" w:hAnsi="Times New Roman" w:cs="Times New Roman"/>
      <w:sz w:val="24"/>
      <w:szCs w:val="24"/>
    </w:rPr>
  </w:style>
  <w:style w:type="paragraph" w:styleId="FootnoteText">
    <w:name w:val="footnote text"/>
    <w:basedOn w:val="Normal"/>
    <w:link w:val="FootnoteTextChar"/>
    <w:uiPriority w:val="99"/>
    <w:pPr>
      <w:spacing w:after="0" w:line="240" w:lineRule="auto"/>
    </w:pPr>
    <w:rPr>
      <w:rFonts w:cs="Times New Roman"/>
      <w:sz w:val="20"/>
      <w:szCs w:val="20"/>
    </w:rPr>
  </w:style>
  <w:style w:type="character" w:customStyle="1" w:styleId="FootnoteTextChar">
    <w:name w:val="Footnote Text Char"/>
    <w:link w:val="FootnoteText"/>
    <w:uiPriority w:val="99"/>
    <w:rPr>
      <w:sz w:val="20"/>
      <w:szCs w:val="20"/>
    </w:rPr>
  </w:style>
  <w:style w:type="character" w:styleId="FootnoteReference">
    <w:name w:val="footnote reference"/>
    <w:uiPriority w:val="99"/>
  </w:style>
  <w:style w:type="character" w:styleId="PlaceholderText">
    <w:name w:val="Placeholder Text"/>
    <w:basedOn w:val="DefaultParagraphFont"/>
    <w:uiPriority w:val="99"/>
    <w:semiHidden/>
    <w:rsid w:val="0071728D"/>
    <w:rPr>
      <w:color w:val="808080"/>
    </w:rPr>
  </w:style>
  <w:style w:type="table" w:styleId="TableGrid">
    <w:name w:val="Table Grid"/>
    <w:basedOn w:val="TableNormal"/>
    <w:uiPriority w:val="59"/>
    <w:rsid w:val="0071728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24513"/>
    <w:pPr>
      <w:widowControl w:val="0"/>
      <w:autoSpaceDE w:val="0"/>
      <w:autoSpaceDN w:val="0"/>
      <w:adjustRightInd w:val="0"/>
    </w:pPr>
    <w:rPr>
      <w:rFonts w:cs="Calibri"/>
      <w:sz w:val="22"/>
      <w:szCs w:val="22"/>
    </w:rPr>
  </w:style>
  <w:style w:type="character" w:customStyle="1" w:styleId="Heading1Char">
    <w:name w:val="Heading 1 Char"/>
    <w:basedOn w:val="DefaultParagraphFont"/>
    <w:link w:val="Heading1"/>
    <w:uiPriority w:val="9"/>
    <w:rsid w:val="00647FA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647FA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647FAB"/>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semiHidden/>
    <w:rsid w:val="00647FAB"/>
    <w:rPr>
      <w:rFonts w:asciiTheme="majorHAnsi" w:eastAsiaTheme="majorEastAsia" w:hAnsiTheme="majorHAnsi" w:cstheme="majorBidi"/>
      <w:b/>
      <w:bCs/>
      <w:i/>
      <w:iCs/>
      <w:color w:val="4F81BD" w:themeColor="accent1"/>
      <w:sz w:val="22"/>
      <w:szCs w:val="22"/>
    </w:rPr>
  </w:style>
  <w:style w:type="character" w:customStyle="1" w:styleId="Heading5Char">
    <w:name w:val="Heading 5 Char"/>
    <w:basedOn w:val="DefaultParagraphFont"/>
    <w:link w:val="Heading5"/>
    <w:uiPriority w:val="9"/>
    <w:semiHidden/>
    <w:rsid w:val="00647FAB"/>
    <w:rPr>
      <w:rFonts w:asciiTheme="majorHAnsi" w:eastAsiaTheme="majorEastAsia" w:hAnsiTheme="majorHAnsi" w:cstheme="majorBidi"/>
      <w:color w:val="243F60" w:themeColor="accent1" w:themeShade="7F"/>
      <w:sz w:val="22"/>
      <w:szCs w:val="22"/>
    </w:rPr>
  </w:style>
  <w:style w:type="character" w:customStyle="1" w:styleId="Heading6Char">
    <w:name w:val="Heading 6 Char"/>
    <w:basedOn w:val="DefaultParagraphFont"/>
    <w:link w:val="Heading6"/>
    <w:uiPriority w:val="9"/>
    <w:semiHidden/>
    <w:rsid w:val="00647FAB"/>
    <w:rPr>
      <w:rFonts w:asciiTheme="majorHAnsi" w:eastAsiaTheme="majorEastAsia" w:hAnsiTheme="majorHAnsi" w:cstheme="majorBidi"/>
      <w:i/>
      <w:iCs/>
      <w:color w:val="243F60" w:themeColor="accent1" w:themeShade="7F"/>
      <w:sz w:val="22"/>
      <w:szCs w:val="22"/>
    </w:rPr>
  </w:style>
  <w:style w:type="character" w:customStyle="1" w:styleId="Heading7Char">
    <w:name w:val="Heading 7 Char"/>
    <w:basedOn w:val="DefaultParagraphFont"/>
    <w:link w:val="Heading7"/>
    <w:uiPriority w:val="9"/>
    <w:semiHidden/>
    <w:rsid w:val="00647FAB"/>
    <w:rPr>
      <w:rFonts w:asciiTheme="majorHAnsi" w:eastAsiaTheme="majorEastAsia" w:hAnsiTheme="majorHAnsi" w:cstheme="majorBidi"/>
      <w:i/>
      <w:iCs/>
      <w:color w:val="404040" w:themeColor="text1" w:themeTint="BF"/>
      <w:sz w:val="22"/>
      <w:szCs w:val="22"/>
    </w:rPr>
  </w:style>
  <w:style w:type="character" w:customStyle="1" w:styleId="Heading8Char">
    <w:name w:val="Heading 8 Char"/>
    <w:basedOn w:val="DefaultParagraphFont"/>
    <w:link w:val="Heading8"/>
    <w:uiPriority w:val="9"/>
    <w:semiHidden/>
    <w:rsid w:val="00647FAB"/>
    <w:rPr>
      <w:rFonts w:asciiTheme="majorHAnsi" w:eastAsiaTheme="majorEastAsia" w:hAnsiTheme="majorHAnsi" w:cstheme="majorBidi"/>
      <w:color w:val="404040" w:themeColor="text1" w:themeTint="BF"/>
    </w:rPr>
  </w:style>
  <w:style w:type="paragraph" w:styleId="Quote">
    <w:name w:val="Quote"/>
    <w:basedOn w:val="Normal"/>
    <w:next w:val="Normal"/>
    <w:link w:val="QuoteChar"/>
    <w:uiPriority w:val="29"/>
    <w:qFormat/>
    <w:rsid w:val="00647FAB"/>
    <w:rPr>
      <w:i/>
      <w:iCs/>
      <w:color w:val="000000" w:themeColor="text1"/>
    </w:rPr>
  </w:style>
  <w:style w:type="character" w:customStyle="1" w:styleId="QuoteChar">
    <w:name w:val="Quote Char"/>
    <w:basedOn w:val="DefaultParagraphFont"/>
    <w:link w:val="Quote"/>
    <w:uiPriority w:val="29"/>
    <w:rsid w:val="00647FAB"/>
    <w:rPr>
      <w:rFonts w:cs="Calibri"/>
      <w:i/>
      <w:iCs/>
      <w:color w:val="000000" w:themeColor="text1"/>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PMingLiU"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200" w:line="276" w:lineRule="auto"/>
    </w:pPr>
    <w:rPr>
      <w:rFonts w:cs="Calibri"/>
      <w:sz w:val="22"/>
      <w:szCs w:val="22"/>
    </w:rPr>
  </w:style>
  <w:style w:type="paragraph" w:styleId="Heading1">
    <w:name w:val="heading 1"/>
    <w:basedOn w:val="Normal"/>
    <w:next w:val="Normal"/>
    <w:link w:val="Heading1Char"/>
    <w:uiPriority w:val="9"/>
    <w:qFormat/>
    <w:rsid w:val="00647FA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647FA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47FA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47FAB"/>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647FAB"/>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47FAB"/>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647FA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47FAB"/>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1-Accent21">
    <w:name w:val="Medium Grid 1 - Accent 21"/>
    <w:basedOn w:val="Normal"/>
    <w:uiPriority w:val="99"/>
    <w:qFormat/>
    <w:pPr>
      <w:ind w:left="720"/>
    </w:pPr>
  </w:style>
  <w:style w:type="paragraph" w:styleId="BalloonText">
    <w:name w:val="Balloon Text"/>
    <w:basedOn w:val="Normal"/>
    <w:link w:val="BalloonTextChar"/>
    <w:uiPriority w:val="99"/>
    <w:pPr>
      <w:spacing w:after="0" w:line="240" w:lineRule="auto"/>
    </w:pPr>
    <w:rPr>
      <w:rFonts w:cs="Times New Roman"/>
      <w:sz w:val="18"/>
      <w:szCs w:val="18"/>
    </w:rPr>
  </w:style>
  <w:style w:type="character" w:customStyle="1" w:styleId="BalloonTextChar">
    <w:name w:val="Balloon Text Char"/>
    <w:link w:val="BalloonText"/>
    <w:uiPriority w:val="99"/>
    <w:rPr>
      <w:sz w:val="18"/>
      <w:szCs w:val="18"/>
    </w:rPr>
  </w:style>
  <w:style w:type="character" w:styleId="Hyperlink">
    <w:name w:val="Hyperlink"/>
    <w:uiPriority w:val="99"/>
    <w:rPr>
      <w:color w:val="0000FF"/>
      <w:u w:val="single"/>
    </w:rPr>
  </w:style>
  <w:style w:type="paragraph" w:styleId="MacroText">
    <w:name w:val="macro"/>
    <w:link w:val="MacroTextChar"/>
    <w:uiPriority w:val="99"/>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line="276" w:lineRule="auto"/>
    </w:pPr>
  </w:style>
  <w:style w:type="character" w:customStyle="1" w:styleId="MacroTextChar">
    <w:name w:val="Macro Text Char"/>
    <w:link w:val="MacroText"/>
    <w:uiPriority w:val="99"/>
    <w:rPr>
      <w:lang w:val="en-US" w:eastAsia="en-US" w:bidi="ar-SA"/>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link w:val="Header"/>
    <w:uiPriority w:val="99"/>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link w:val="Footer"/>
    <w:uiPriority w:val="99"/>
  </w:style>
  <w:style w:type="character" w:styleId="CommentReference">
    <w:name w:val="annotation reference"/>
    <w:uiPriority w:val="99"/>
    <w:rPr>
      <w:sz w:val="16"/>
      <w:szCs w:val="16"/>
    </w:rPr>
  </w:style>
  <w:style w:type="paragraph" w:styleId="CommentText">
    <w:name w:val="annotation text"/>
    <w:basedOn w:val="Normal"/>
    <w:link w:val="CommentTextChar"/>
    <w:uiPriority w:val="99"/>
    <w:pPr>
      <w:spacing w:line="240" w:lineRule="auto"/>
    </w:pPr>
    <w:rPr>
      <w:rFonts w:cs="Times New Roman"/>
      <w:sz w:val="20"/>
      <w:szCs w:val="20"/>
    </w:rPr>
  </w:style>
  <w:style w:type="character" w:customStyle="1" w:styleId="CommentTextChar">
    <w:name w:val="Comment Text Char"/>
    <w:link w:val="CommentText"/>
    <w:uiPriority w:val="99"/>
    <w:rPr>
      <w:sz w:val="20"/>
      <w:szCs w:val="20"/>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link w:val="CommentSubject"/>
    <w:uiPriority w:val="99"/>
    <w:rPr>
      <w:b/>
      <w:bCs/>
      <w:sz w:val="20"/>
      <w:szCs w:val="20"/>
    </w:rPr>
  </w:style>
  <w:style w:type="paragraph" w:customStyle="1" w:styleId="MediumList2-Accent21">
    <w:name w:val="Medium List 2 - Accent 21"/>
    <w:uiPriority w:val="99"/>
    <w:pPr>
      <w:widowControl w:val="0"/>
      <w:autoSpaceDE w:val="0"/>
      <w:autoSpaceDN w:val="0"/>
      <w:adjustRightInd w:val="0"/>
    </w:pPr>
    <w:rPr>
      <w:rFonts w:cs="Calibri"/>
      <w:sz w:val="22"/>
      <w:szCs w:val="22"/>
    </w:rPr>
  </w:style>
  <w:style w:type="paragraph" w:styleId="NormalWeb">
    <w:name w:val="Normal (Web)"/>
    <w:basedOn w:val="Normal"/>
    <w:uiPriority w:val="99"/>
    <w:rPr>
      <w:rFonts w:ascii="Times New Roman" w:hAnsi="Times New Roman" w:cs="Times New Roman"/>
      <w:sz w:val="24"/>
      <w:szCs w:val="24"/>
    </w:rPr>
  </w:style>
  <w:style w:type="paragraph" w:styleId="FootnoteText">
    <w:name w:val="footnote text"/>
    <w:basedOn w:val="Normal"/>
    <w:link w:val="FootnoteTextChar"/>
    <w:uiPriority w:val="99"/>
    <w:pPr>
      <w:spacing w:after="0" w:line="240" w:lineRule="auto"/>
    </w:pPr>
    <w:rPr>
      <w:rFonts w:cs="Times New Roman"/>
      <w:sz w:val="20"/>
      <w:szCs w:val="20"/>
    </w:rPr>
  </w:style>
  <w:style w:type="character" w:customStyle="1" w:styleId="FootnoteTextChar">
    <w:name w:val="Footnote Text Char"/>
    <w:link w:val="FootnoteText"/>
    <w:uiPriority w:val="99"/>
    <w:rPr>
      <w:sz w:val="20"/>
      <w:szCs w:val="20"/>
    </w:rPr>
  </w:style>
  <w:style w:type="character" w:styleId="FootnoteReference">
    <w:name w:val="footnote reference"/>
    <w:uiPriority w:val="99"/>
  </w:style>
  <w:style w:type="character" w:styleId="PlaceholderText">
    <w:name w:val="Placeholder Text"/>
    <w:basedOn w:val="DefaultParagraphFont"/>
    <w:uiPriority w:val="99"/>
    <w:semiHidden/>
    <w:rsid w:val="0071728D"/>
    <w:rPr>
      <w:color w:val="808080"/>
    </w:rPr>
  </w:style>
  <w:style w:type="table" w:styleId="TableGrid">
    <w:name w:val="Table Grid"/>
    <w:basedOn w:val="TableNormal"/>
    <w:uiPriority w:val="59"/>
    <w:rsid w:val="0071728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24513"/>
    <w:pPr>
      <w:widowControl w:val="0"/>
      <w:autoSpaceDE w:val="0"/>
      <w:autoSpaceDN w:val="0"/>
      <w:adjustRightInd w:val="0"/>
    </w:pPr>
    <w:rPr>
      <w:rFonts w:cs="Calibri"/>
      <w:sz w:val="22"/>
      <w:szCs w:val="22"/>
    </w:rPr>
  </w:style>
  <w:style w:type="character" w:customStyle="1" w:styleId="Heading1Char">
    <w:name w:val="Heading 1 Char"/>
    <w:basedOn w:val="DefaultParagraphFont"/>
    <w:link w:val="Heading1"/>
    <w:uiPriority w:val="9"/>
    <w:rsid w:val="00647FA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647FA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647FAB"/>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semiHidden/>
    <w:rsid w:val="00647FAB"/>
    <w:rPr>
      <w:rFonts w:asciiTheme="majorHAnsi" w:eastAsiaTheme="majorEastAsia" w:hAnsiTheme="majorHAnsi" w:cstheme="majorBidi"/>
      <w:b/>
      <w:bCs/>
      <w:i/>
      <w:iCs/>
      <w:color w:val="4F81BD" w:themeColor="accent1"/>
      <w:sz w:val="22"/>
      <w:szCs w:val="22"/>
    </w:rPr>
  </w:style>
  <w:style w:type="character" w:customStyle="1" w:styleId="Heading5Char">
    <w:name w:val="Heading 5 Char"/>
    <w:basedOn w:val="DefaultParagraphFont"/>
    <w:link w:val="Heading5"/>
    <w:uiPriority w:val="9"/>
    <w:semiHidden/>
    <w:rsid w:val="00647FAB"/>
    <w:rPr>
      <w:rFonts w:asciiTheme="majorHAnsi" w:eastAsiaTheme="majorEastAsia" w:hAnsiTheme="majorHAnsi" w:cstheme="majorBidi"/>
      <w:color w:val="243F60" w:themeColor="accent1" w:themeShade="7F"/>
      <w:sz w:val="22"/>
      <w:szCs w:val="22"/>
    </w:rPr>
  </w:style>
  <w:style w:type="character" w:customStyle="1" w:styleId="Heading6Char">
    <w:name w:val="Heading 6 Char"/>
    <w:basedOn w:val="DefaultParagraphFont"/>
    <w:link w:val="Heading6"/>
    <w:uiPriority w:val="9"/>
    <w:semiHidden/>
    <w:rsid w:val="00647FAB"/>
    <w:rPr>
      <w:rFonts w:asciiTheme="majorHAnsi" w:eastAsiaTheme="majorEastAsia" w:hAnsiTheme="majorHAnsi" w:cstheme="majorBidi"/>
      <w:i/>
      <w:iCs/>
      <w:color w:val="243F60" w:themeColor="accent1" w:themeShade="7F"/>
      <w:sz w:val="22"/>
      <w:szCs w:val="22"/>
    </w:rPr>
  </w:style>
  <w:style w:type="character" w:customStyle="1" w:styleId="Heading7Char">
    <w:name w:val="Heading 7 Char"/>
    <w:basedOn w:val="DefaultParagraphFont"/>
    <w:link w:val="Heading7"/>
    <w:uiPriority w:val="9"/>
    <w:semiHidden/>
    <w:rsid w:val="00647FAB"/>
    <w:rPr>
      <w:rFonts w:asciiTheme="majorHAnsi" w:eastAsiaTheme="majorEastAsia" w:hAnsiTheme="majorHAnsi" w:cstheme="majorBidi"/>
      <w:i/>
      <w:iCs/>
      <w:color w:val="404040" w:themeColor="text1" w:themeTint="BF"/>
      <w:sz w:val="22"/>
      <w:szCs w:val="22"/>
    </w:rPr>
  </w:style>
  <w:style w:type="character" w:customStyle="1" w:styleId="Heading8Char">
    <w:name w:val="Heading 8 Char"/>
    <w:basedOn w:val="DefaultParagraphFont"/>
    <w:link w:val="Heading8"/>
    <w:uiPriority w:val="9"/>
    <w:semiHidden/>
    <w:rsid w:val="00647FAB"/>
    <w:rPr>
      <w:rFonts w:asciiTheme="majorHAnsi" w:eastAsiaTheme="majorEastAsia" w:hAnsiTheme="majorHAnsi" w:cstheme="majorBidi"/>
      <w:color w:val="404040" w:themeColor="text1" w:themeTint="BF"/>
    </w:rPr>
  </w:style>
  <w:style w:type="paragraph" w:styleId="Quote">
    <w:name w:val="Quote"/>
    <w:basedOn w:val="Normal"/>
    <w:next w:val="Normal"/>
    <w:link w:val="QuoteChar"/>
    <w:uiPriority w:val="29"/>
    <w:qFormat/>
    <w:rsid w:val="00647FAB"/>
    <w:rPr>
      <w:i/>
      <w:iCs/>
      <w:color w:val="000000" w:themeColor="text1"/>
    </w:rPr>
  </w:style>
  <w:style w:type="character" w:customStyle="1" w:styleId="QuoteChar">
    <w:name w:val="Quote Char"/>
    <w:basedOn w:val="DefaultParagraphFont"/>
    <w:link w:val="Quote"/>
    <w:uiPriority w:val="29"/>
    <w:rsid w:val="00647FAB"/>
    <w:rPr>
      <w:rFonts w:cs="Calibri"/>
      <w:i/>
      <w:iCs/>
      <w:color w:val="000000" w:themeColor="text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emf"/><Relationship Id="rId18" Type="http://schemas.openxmlformats.org/officeDocument/2006/relationships/image" Target="media/image3.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arren.chia@russopartnersllc.com"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david.schull@russopartnersllc.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ir@pumabiotechnology.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pumabiotechnology.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1668</Words>
  <Characters>9705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_</vt:lpstr>
    </vt:vector>
  </TitlesOfParts>
  <Company/>
  <LinksUpToDate>false</LinksUpToDate>
  <CharactersWithSpaces>11351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Mariann Ohanesian</dc:creator>
  <cp:lastModifiedBy>Mariann Ohanesian</cp:lastModifiedBy>
  <cp:revision>4</cp:revision>
  <cp:lastPrinted>2017-02-28T22:08:00Z</cp:lastPrinted>
  <dcterms:created xsi:type="dcterms:W3CDTF">2017-02-28T21:35:00Z</dcterms:created>
  <dcterms:modified xsi:type="dcterms:W3CDTF">2017-02-28T22:09:00Z</dcterms:modified>
</cp:coreProperties>
</file>