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FE5D9" w14:textId="66200815" w:rsidR="00F43444" w:rsidRDefault="00FA2870">
      <w:pPr>
        <w:autoSpaceDE/>
        <w:autoSpaceDN/>
        <w:adjustRightInd/>
        <w:spacing w:before="99" w:after="0" w:line="240" w:lineRule="auto"/>
        <w:ind w:right="-20"/>
        <w:rPr>
          <w:rFonts w:ascii="Times New Roman" w:eastAsia="Times New Roman" w:hAnsi="Times New Roman" w:cs="Times New Roman"/>
          <w:sz w:val="32"/>
          <w:szCs w:val="32"/>
        </w:rPr>
      </w:pPr>
      <w:r>
        <w:rPr>
          <w:rFonts w:ascii="Times New Roman" w:eastAsia="Times New Roman" w:hAnsi="Times New Roman" w:cs="Times New Roman"/>
          <w:noProof/>
          <w:sz w:val="24"/>
          <w:szCs w:val="24"/>
        </w:rPr>
        <w:drawing>
          <wp:inline distT="0" distB="0" distL="0" distR="0" wp14:anchorId="6BE75D01" wp14:editId="25E7D03F">
            <wp:extent cx="14478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106817"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47800" cy="504825"/>
                    </a:xfrm>
                    <a:prstGeom prst="rect">
                      <a:avLst/>
                    </a:prstGeom>
                    <a:noFill/>
                    <a:ln>
                      <a:noFill/>
                    </a:ln>
                  </pic:spPr>
                </pic:pic>
              </a:graphicData>
            </a:graphic>
          </wp:inline>
        </w:drawing>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p>
    <w:p w14:paraId="5521AA92" w14:textId="77777777" w:rsidR="00F43444" w:rsidRDefault="00F43444">
      <w:pPr>
        <w:autoSpaceDE/>
        <w:autoSpaceDN/>
        <w:adjustRightInd/>
        <w:spacing w:before="4" w:after="0" w:line="170" w:lineRule="exact"/>
        <w:rPr>
          <w:rFonts w:eastAsia="Times New Roman" w:cs="Times New Roman"/>
          <w:sz w:val="17"/>
          <w:szCs w:val="24"/>
        </w:rPr>
      </w:pPr>
    </w:p>
    <w:p w14:paraId="07997CBB" w14:textId="77777777" w:rsidR="00F43444" w:rsidRDefault="00FA2870">
      <w:pPr>
        <w:autoSpaceDE/>
        <w:autoSpaceDN/>
        <w:adjustRightInd/>
        <w:spacing w:after="0" w:line="240" w:lineRule="auto"/>
        <w:ind w:right="1152"/>
        <w:rPr>
          <w:rFonts w:ascii="Times New Roman" w:eastAsia="Times New Roman" w:hAnsi="Times New Roman" w:cs="Times New Roman"/>
          <w:sz w:val="28"/>
          <w:szCs w:val="28"/>
        </w:rPr>
      </w:pPr>
      <w:r>
        <w:rPr>
          <w:rFonts w:ascii="Times New Roman" w:eastAsia="Times New Roman" w:hAnsi="Times New Roman" w:cs="Times New Roman"/>
          <w:b/>
          <w:sz w:val="36"/>
          <w:szCs w:val="24"/>
        </w:rPr>
        <w:t>News Rel</w:t>
      </w:r>
      <w:r>
        <w:rPr>
          <w:rFonts w:ascii="Times New Roman" w:eastAsia="Times New Roman" w:hAnsi="Times New Roman" w:cs="Times New Roman"/>
          <w:b/>
          <w:spacing w:val="-2"/>
          <w:sz w:val="36"/>
          <w:szCs w:val="24"/>
        </w:rPr>
        <w:t>e</w:t>
      </w:r>
      <w:r>
        <w:rPr>
          <w:rFonts w:ascii="Times New Roman" w:eastAsia="Times New Roman" w:hAnsi="Times New Roman" w:cs="Times New Roman"/>
          <w:b/>
          <w:sz w:val="36"/>
          <w:szCs w:val="24"/>
        </w:rPr>
        <w:t>ase</w:t>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r>
        <w:rPr>
          <w:rFonts w:ascii="Times New Roman" w:eastAsia="Times New Roman" w:hAnsi="Times New Roman" w:cs="Times New Roman"/>
          <w:b/>
          <w:sz w:val="36"/>
          <w:szCs w:val="24"/>
        </w:rPr>
        <w:tab/>
      </w:r>
    </w:p>
    <w:p w14:paraId="2652D5AC" w14:textId="77777777" w:rsidR="00F43444" w:rsidRDefault="00F43444">
      <w:pPr>
        <w:autoSpaceDE/>
        <w:autoSpaceDN/>
        <w:adjustRightInd/>
        <w:spacing w:after="0" w:line="200" w:lineRule="exact"/>
        <w:rPr>
          <w:rFonts w:eastAsia="Times New Roman" w:cs="Times New Roman"/>
          <w:sz w:val="28"/>
          <w:szCs w:val="24"/>
        </w:rPr>
      </w:pPr>
    </w:p>
    <w:p w14:paraId="52DBE2C0" w14:textId="77777777" w:rsidR="00F43444" w:rsidRDefault="00FA2870">
      <w:pPr>
        <w:autoSpaceDE/>
        <w:autoSpaceDN/>
        <w:adjustRightInd/>
        <w:spacing w:before="120" w:after="120" w:line="20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Puma Biotechnology Reports Second Quarter 2018 Financial Results </w:t>
      </w:r>
    </w:p>
    <w:p w14:paraId="5896D397" w14:textId="77777777" w:rsidR="00F43444" w:rsidRDefault="00F43444">
      <w:pPr>
        <w:autoSpaceDE/>
        <w:autoSpaceDN/>
        <w:adjustRightInd/>
        <w:spacing w:before="120" w:after="0" w:line="200" w:lineRule="exact"/>
        <w:jc w:val="center"/>
        <w:rPr>
          <w:rFonts w:ascii="Times New Roman" w:eastAsia="Times New Roman" w:hAnsi="Times New Roman" w:cs="Times New Roman"/>
          <w:b/>
          <w:sz w:val="24"/>
          <w:szCs w:val="24"/>
        </w:rPr>
      </w:pPr>
    </w:p>
    <w:p w14:paraId="2D401AA7" w14:textId="77777777" w:rsidR="00F43444" w:rsidRDefault="00FA2870">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LOS</w:t>
      </w:r>
      <w:r>
        <w:rPr>
          <w:rFonts w:ascii="Times New Roman" w:eastAsia="Times New Roman" w:hAnsi="Times New Roman" w:cs="Times New Roman"/>
          <w:b/>
          <w:spacing w:val="1"/>
        </w:rPr>
        <w:t xml:space="preserve"> </w:t>
      </w:r>
      <w:r>
        <w:rPr>
          <w:rFonts w:ascii="Times New Roman" w:eastAsia="Times New Roman" w:hAnsi="Times New Roman" w:cs="Times New Roman"/>
          <w:b/>
        </w:rPr>
        <w:t>A</w:t>
      </w:r>
      <w:r>
        <w:rPr>
          <w:rFonts w:ascii="Times New Roman" w:eastAsia="Times New Roman" w:hAnsi="Times New Roman" w:cs="Times New Roman"/>
          <w:b/>
          <w:spacing w:val="-1"/>
        </w:rPr>
        <w:t>N</w:t>
      </w:r>
      <w:r>
        <w:rPr>
          <w:rFonts w:ascii="Times New Roman" w:eastAsia="Times New Roman" w:hAnsi="Times New Roman" w:cs="Times New Roman"/>
          <w:b/>
        </w:rPr>
        <w:t>GEL</w:t>
      </w:r>
      <w:r>
        <w:rPr>
          <w:rFonts w:ascii="Times New Roman" w:eastAsia="Times New Roman" w:hAnsi="Times New Roman" w:cs="Times New Roman"/>
          <w:b/>
          <w:spacing w:val="-1"/>
        </w:rPr>
        <w:t>E</w:t>
      </w:r>
      <w:r>
        <w:rPr>
          <w:rFonts w:ascii="Times New Roman" w:eastAsia="Times New Roman" w:hAnsi="Times New Roman" w:cs="Times New Roman"/>
          <w:b/>
        </w:rPr>
        <w:t>S,</w:t>
      </w:r>
      <w:r>
        <w:rPr>
          <w:rFonts w:ascii="Times New Roman" w:eastAsia="Times New Roman" w:hAnsi="Times New Roman" w:cs="Times New Roman"/>
          <w:b/>
          <w:spacing w:val="2"/>
        </w:rPr>
        <w:t xml:space="preserve"> </w:t>
      </w:r>
      <w:r>
        <w:rPr>
          <w:rFonts w:ascii="Times New Roman" w:eastAsia="Times New Roman" w:hAnsi="Times New Roman" w:cs="Times New Roman"/>
          <w:b/>
        </w:rPr>
        <w:t>Cali</w:t>
      </w:r>
      <w:r>
        <w:rPr>
          <w:rFonts w:ascii="Times New Roman" w:eastAsia="Times New Roman" w:hAnsi="Times New Roman" w:cs="Times New Roman"/>
          <w:b/>
          <w:spacing w:val="1"/>
        </w:rPr>
        <w:t>f</w:t>
      </w:r>
      <w:r>
        <w:rPr>
          <w:rFonts w:ascii="Times New Roman" w:eastAsia="Times New Roman" w:hAnsi="Times New Roman" w:cs="Times New Roman"/>
          <w:b/>
        </w:rPr>
        <w:t>.,</w:t>
      </w:r>
      <w:r>
        <w:rPr>
          <w:rFonts w:ascii="Times New Roman" w:eastAsia="Times New Roman" w:hAnsi="Times New Roman" w:cs="Times New Roman"/>
          <w:b/>
          <w:spacing w:val="1"/>
        </w:rPr>
        <w:t xml:space="preserve"> </w:t>
      </w:r>
      <w:r w:rsidRPr="00A16553">
        <w:rPr>
          <w:rFonts w:ascii="Times New Roman" w:eastAsia="Times New Roman" w:hAnsi="Times New Roman" w:cs="Times New Roman"/>
          <w:b/>
        </w:rPr>
        <w:t>Aug. 9,</w:t>
      </w:r>
      <w:r>
        <w:rPr>
          <w:rFonts w:ascii="Times New Roman" w:eastAsia="Times New Roman" w:hAnsi="Times New Roman" w:cs="Times New Roman"/>
          <w:b/>
        </w:rPr>
        <w:t xml:space="preserve"> 2018</w:t>
      </w:r>
      <w:r>
        <w:rPr>
          <w:rFonts w:ascii="Times New Roman" w:eastAsia="Times New Roman" w:hAnsi="Times New Roman" w:cs="Times New Roman"/>
          <w:b/>
          <w:spacing w:val="1"/>
        </w:rPr>
        <w:t xml:space="preserve"> </w:t>
      </w:r>
      <w:r>
        <w:rPr>
          <w:rFonts w:ascii="Symbol" w:eastAsia="Symbol" w:hAnsi="Symbol" w:cs="Times New Roman"/>
        </w:rPr>
        <w:sym w:font="Symbol" w:char="F02D"/>
      </w:r>
      <w:r>
        <w:rPr>
          <w:rFonts w:ascii="Times New Roman" w:eastAsia="Times New Roman" w:hAnsi="Times New Roman" w:cs="Times New Roman"/>
        </w:rPr>
        <w:t xml:space="preserve"> Pu</w:t>
      </w:r>
      <w:r>
        <w:rPr>
          <w:rFonts w:ascii="Times New Roman" w:eastAsia="Times New Roman" w:hAnsi="Times New Roman" w:cs="Times New Roman"/>
          <w:spacing w:val="-2"/>
        </w:rPr>
        <w:t>m</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Biotechnology,</w:t>
      </w:r>
      <w:r>
        <w:rPr>
          <w:rFonts w:ascii="Times New Roman" w:eastAsia="Times New Roman" w:hAnsi="Times New Roman" w:cs="Times New Roman"/>
          <w:spacing w:val="1"/>
        </w:rPr>
        <w:t xml:space="preserve"> </w:t>
      </w:r>
      <w:r>
        <w:rPr>
          <w:rFonts w:ascii="Times New Roman" w:eastAsia="Times New Roman" w:hAnsi="Times New Roman" w:cs="Times New Roman"/>
        </w:rPr>
        <w:t>Inc</w:t>
      </w:r>
      <w:r>
        <w:rPr>
          <w:rFonts w:ascii="Times New Roman" w:eastAsia="Times New Roman" w:hAnsi="Times New Roman" w:cs="Times New Roman"/>
          <w:spacing w:val="-1"/>
        </w:rPr>
        <w:t>. (NASDAQ: PBYI)</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a biophar</w:t>
      </w:r>
      <w:r>
        <w:rPr>
          <w:rFonts w:ascii="Times New Roman" w:eastAsia="Times New Roman" w:hAnsi="Times New Roman" w:cs="Times New Roman"/>
          <w:spacing w:val="-1"/>
        </w:rPr>
        <w:t>m</w:t>
      </w:r>
      <w:r>
        <w:rPr>
          <w:rFonts w:ascii="Times New Roman" w:eastAsia="Times New Roman" w:hAnsi="Times New Roman" w:cs="Times New Roman"/>
        </w:rPr>
        <w:t>aceut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al</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company, </w:t>
      </w:r>
      <w:r>
        <w:rPr>
          <w:rFonts w:ascii="Times New Roman" w:eastAsia="Times New Roman" w:hAnsi="Times New Roman" w:cs="Times New Roman"/>
          <w:lang w:val="en-GB"/>
        </w:rPr>
        <w:t>announced financial results for the second quarter ended June 30, 2018.</w:t>
      </w:r>
      <w:r w:rsidR="00EB1888">
        <w:rPr>
          <w:rFonts w:ascii="Times New Roman" w:eastAsia="Times New Roman" w:hAnsi="Times New Roman" w:cs="Times New Roman"/>
          <w:lang w:val="en-GB"/>
        </w:rPr>
        <w:t xml:space="preserve">  </w:t>
      </w:r>
      <w:r>
        <w:rPr>
          <w:rFonts w:ascii="Times New Roman" w:eastAsia="Times New Roman" w:hAnsi="Times New Roman" w:cs="Times New Roman"/>
        </w:rPr>
        <w:t>Unless otherwise stated, all comparisons are for the second quarter</w:t>
      </w:r>
      <w:r>
        <w:rPr>
          <w:rFonts w:ascii="Times New Roman" w:eastAsia="Times New Roman" w:hAnsi="Times New Roman" w:cs="Times New Roman"/>
          <w:lang w:val="en-GB"/>
        </w:rPr>
        <w:t xml:space="preserve"> 2018</w:t>
      </w:r>
      <w:r>
        <w:rPr>
          <w:rFonts w:ascii="Times New Roman" w:eastAsia="Times New Roman" w:hAnsi="Times New Roman" w:cs="Times New Roman"/>
        </w:rPr>
        <w:t xml:space="preserve"> compared to the second quarter </w:t>
      </w:r>
      <w:r>
        <w:rPr>
          <w:rFonts w:ascii="Times New Roman" w:eastAsia="Times New Roman" w:hAnsi="Times New Roman" w:cs="Times New Roman"/>
          <w:lang w:val="en-GB"/>
        </w:rPr>
        <w:t>2017</w:t>
      </w:r>
      <w:r>
        <w:rPr>
          <w:rFonts w:ascii="Times New Roman" w:eastAsia="Times New Roman" w:hAnsi="Times New Roman" w:cs="Times New Roman"/>
        </w:rPr>
        <w:t>.</w:t>
      </w:r>
    </w:p>
    <w:p w14:paraId="0F4B477F" w14:textId="77777777" w:rsidR="00F43444" w:rsidRDefault="00F43444">
      <w:pPr>
        <w:autoSpaceDE/>
        <w:autoSpaceDN/>
        <w:adjustRightInd/>
        <w:spacing w:after="0" w:line="240" w:lineRule="auto"/>
        <w:jc w:val="both"/>
        <w:rPr>
          <w:rFonts w:ascii="Times New Roman" w:eastAsia="Times New Roman" w:hAnsi="Times New Roman" w:cs="Times New Roman"/>
        </w:rPr>
      </w:pPr>
    </w:p>
    <w:p w14:paraId="560289E9" w14:textId="77777777" w:rsidR="00F43444" w:rsidRDefault="00FA2870">
      <w:pPr>
        <w:autoSpaceDE/>
        <w:autoSpaceDN/>
        <w:adjustRightInd/>
        <w:spacing w:after="0" w:line="230" w:lineRule="auto"/>
        <w:ind w:right="53"/>
        <w:jc w:val="both"/>
        <w:rPr>
          <w:rFonts w:ascii="Times New Roman" w:eastAsia="Times New Roman" w:hAnsi="Times New Roman" w:cs="Times New Roman"/>
        </w:rPr>
      </w:pPr>
      <w:r>
        <w:rPr>
          <w:rFonts w:ascii="Times New Roman" w:eastAsia="Times New Roman" w:hAnsi="Times New Roman" w:cs="Times New Roman"/>
        </w:rPr>
        <w:t xml:space="preserve">On July 17, 2017, Puma Biotechnology received approval from the U.S. Food and Drug Administration (FDA) for NERLYNX® (neratinib) for the treatment of early stage HER2-positive breast cancer following adjuvant trastuzumab-based therapy, and the Company began shipment to wholesalers at the end of July 2017.  Prior to the launch of NERLYNX the Company had no product revenue.  Net product revenue from sales of NERLYNX in the second quarter of 2018 amounted to $50.8 million, compared to net product revenue of $36.0 million and $20.1 million in the first quarter of 2018 and fourth quarter of 2017, respectively.  </w:t>
      </w:r>
    </w:p>
    <w:p w14:paraId="3A718104" w14:textId="77777777" w:rsidR="00F43444" w:rsidRDefault="00F43444">
      <w:pPr>
        <w:autoSpaceDE/>
        <w:autoSpaceDN/>
        <w:adjustRightInd/>
        <w:spacing w:after="0" w:line="240" w:lineRule="auto"/>
        <w:jc w:val="both"/>
        <w:rPr>
          <w:rFonts w:ascii="Times New Roman" w:eastAsia="Times New Roman" w:hAnsi="Times New Roman" w:cs="Times New Roman"/>
        </w:rPr>
      </w:pPr>
    </w:p>
    <w:p w14:paraId="2F6F5A55" w14:textId="77777777" w:rsidR="00F43444" w:rsidRDefault="00FA2870">
      <w:pPr>
        <w:autoSpaceDE/>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Based on accounting principles generally accepted in the United States (GAAP), </w:t>
      </w:r>
      <w:r>
        <w:rPr>
          <w:rFonts w:ascii="Times New Roman" w:eastAsia="Times New Roman" w:hAnsi="Times New Roman" w:cs="Times New Roman"/>
          <w:lang w:val="en-GB"/>
        </w:rPr>
        <w:t>Puma reported a net loss applicable to common stock of $44.3 million, or $1.17 per share, for the second quarter of 2018, compared to a net loss applicable to common stock of $77.8 million, or $2.10 per share, for the second quarter of 2017.  Net loss applicable to common stock for the first six months of 2018 was $68.7 million, or $1.82 per share, compared to $150.7 million, or $4.08 per share, for the first six months of 2017.</w:t>
      </w:r>
    </w:p>
    <w:p w14:paraId="5DE94D96" w14:textId="77777777" w:rsidR="00F43444" w:rsidRDefault="00F43444">
      <w:pPr>
        <w:autoSpaceDE/>
        <w:autoSpaceDN/>
        <w:adjustRightInd/>
        <w:spacing w:after="0" w:line="240" w:lineRule="auto"/>
        <w:jc w:val="both"/>
        <w:rPr>
          <w:rFonts w:ascii="Times New Roman" w:eastAsia="Times New Roman" w:hAnsi="Times New Roman" w:cs="Times New Roman"/>
          <w:lang w:val="en-GB"/>
        </w:rPr>
      </w:pPr>
    </w:p>
    <w:p w14:paraId="5A52641C" w14:textId="2CE0066F" w:rsidR="00F43444" w:rsidRDefault="00FA2870">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t>Non-GAAP adjusted net loss was $22.2 million, or $0.59 per share, for the second quarter of 2018, compared to non-GAAP adjusted net loss of $50.9 million, or $1.38 per share, for the second quarter of 2017.  Non-GAAP adjusted net loss for the first six months of 2018 was $21.</w:t>
      </w:r>
      <w:r w:rsidR="0017794B">
        <w:rPr>
          <w:rFonts w:ascii="Times New Roman" w:eastAsia="Times New Roman" w:hAnsi="Times New Roman" w:cs="Times New Roman"/>
          <w:lang w:val="en-GB"/>
        </w:rPr>
        <w:t xml:space="preserve">2 </w:t>
      </w:r>
      <w:r>
        <w:rPr>
          <w:rFonts w:ascii="Times New Roman" w:eastAsia="Times New Roman" w:hAnsi="Times New Roman" w:cs="Times New Roman"/>
          <w:lang w:val="en-GB"/>
        </w:rPr>
        <w:t xml:space="preserve">million, or $0.56 per share, compared to non-GAAP adjusted net loss of $94.0 million, or $2.54 per share, for the first six months of 2017.  Non-GAAP adjusted net loss </w:t>
      </w:r>
      <w:r>
        <w:rPr>
          <w:rFonts w:ascii="Times New Roman" w:eastAsia="Times New Roman" w:hAnsi="Times New Roman" w:cs="Times New Roman"/>
        </w:rPr>
        <w:t xml:space="preserve">excludes stock-based compensation expense, which represents a significant portion of overall expense and has no impact on the cash position of the Company.  For a reconciliation of GAAP net loss to non-GAAP adjusted net loss and GAAP net loss per share to non-GAAP adjusted net loss per share, please see the financial tables at the end of this news release.  </w:t>
      </w:r>
    </w:p>
    <w:p w14:paraId="25D7603D" w14:textId="77777777" w:rsidR="00F43444" w:rsidRDefault="00F43444">
      <w:pPr>
        <w:autoSpaceDE/>
        <w:autoSpaceDN/>
        <w:adjustRightInd/>
        <w:spacing w:after="0" w:line="240" w:lineRule="auto"/>
        <w:jc w:val="both"/>
        <w:rPr>
          <w:rFonts w:ascii="Times New Roman" w:eastAsia="Times New Roman" w:hAnsi="Times New Roman" w:cs="Times New Roman"/>
          <w:lang w:val="en-GB"/>
        </w:rPr>
      </w:pPr>
    </w:p>
    <w:p w14:paraId="5293C45F" w14:textId="77777777" w:rsidR="00F43444" w:rsidRDefault="00FA2870">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Net cash used in operating activities for the second quarter of 2018 was $17.6 million. Net cash used in operating activities for the first six months of 2018 was $23.9 million.  At June 30, 2018, Puma had cash and cash equivalents of $95.9 million and marketable securities of $38.6 million, compared to cash and cash equivalents of $81.7 million at December 31, 2017.  </w:t>
      </w:r>
    </w:p>
    <w:p w14:paraId="09E163E8" w14:textId="77777777" w:rsidR="00F43444" w:rsidRDefault="00F43444">
      <w:pPr>
        <w:autoSpaceDE/>
        <w:autoSpaceDN/>
        <w:adjustRightInd/>
        <w:spacing w:after="0" w:line="240" w:lineRule="auto"/>
        <w:jc w:val="both"/>
        <w:rPr>
          <w:rFonts w:ascii="Times New Roman" w:hAnsi="Times New Roman" w:cs="Times New Roman"/>
        </w:rPr>
      </w:pPr>
    </w:p>
    <w:p w14:paraId="26C26445" w14:textId="77777777" w:rsidR="00F43444" w:rsidRDefault="00FA2870">
      <w:pPr>
        <w:spacing w:after="0" w:line="240" w:lineRule="auto"/>
        <w:jc w:val="both"/>
        <w:rPr>
          <w:rFonts w:ascii="Times New Roman" w:hAnsi="Times New Roman" w:cs="Times New Roman"/>
        </w:rPr>
      </w:pPr>
      <w:r>
        <w:rPr>
          <w:rFonts w:ascii="Times New Roman" w:eastAsia="Times New Roman" w:hAnsi="Times New Roman" w:cs="Times New Roman"/>
          <w:lang w:val="en-GB"/>
        </w:rPr>
        <w:t xml:space="preserve">“In the second quarter of 2018, we saw strong commercial progress for Puma,” </w:t>
      </w:r>
      <w:r>
        <w:rPr>
          <w:rFonts w:ascii="Times New Roman" w:eastAsia="Times New Roman" w:hAnsi="Times New Roman" w:cs="Times New Roman"/>
          <w:color w:val="000000" w:themeColor="text1"/>
          <w:lang w:val="en-GB"/>
        </w:rPr>
        <w:t xml:space="preserve">said </w:t>
      </w:r>
      <w:r>
        <w:rPr>
          <w:rFonts w:ascii="Times New Roman" w:hAnsi="Times New Roman" w:cs="Times New Roman"/>
          <w:color w:val="000000" w:themeColor="text1"/>
        </w:rPr>
        <w:t xml:space="preserve">Alan H. Auerbach, Chairman, Chief Executive </w:t>
      </w:r>
      <w:r>
        <w:rPr>
          <w:rFonts w:ascii="Times New Roman" w:hAnsi="Times New Roman" w:cs="Times New Roman"/>
        </w:rPr>
        <w:t xml:space="preserve">Officer and President of Puma. “We continued to grow NERLYNX sales in the United States, with net sales of NERLYNX rising approximately 41% from the 2018 first quarter. We were also pleased that the Committee for Medicinal Products for Human Use (CHMP) adopted a positive opinion recommending marketing authorization for NERLYNX for the extended adjuvant treatment of adult patients with early stage hormone receptor positive HER2-overexpressed/amplified breast cancer and who </w:t>
      </w:r>
      <w:proofErr w:type="gramStart"/>
      <w:r>
        <w:rPr>
          <w:rFonts w:ascii="Times New Roman" w:hAnsi="Times New Roman" w:cs="Times New Roman"/>
        </w:rPr>
        <w:t>are</w:t>
      </w:r>
      <w:proofErr w:type="gramEnd"/>
      <w:r>
        <w:rPr>
          <w:rFonts w:ascii="Times New Roman" w:hAnsi="Times New Roman" w:cs="Times New Roman"/>
        </w:rPr>
        <w:t xml:space="preserve"> less than one year from the completion of prior adjuvant trastuzumab based therapy. The CHMP recommendation will now be reviewed by the European Commission (EC), which has the authority to approve medicines for the European Union (EU).”</w:t>
      </w:r>
    </w:p>
    <w:p w14:paraId="0A8D6C42" w14:textId="77777777" w:rsidR="00F43444" w:rsidRDefault="00F43444">
      <w:pPr>
        <w:spacing w:after="0" w:line="240" w:lineRule="auto"/>
        <w:jc w:val="both"/>
        <w:rPr>
          <w:rFonts w:ascii="Times New Roman" w:eastAsia="Times New Roman" w:hAnsi="Times New Roman" w:cs="Times New Roman"/>
          <w:lang w:val="en-GB"/>
        </w:rPr>
      </w:pPr>
    </w:p>
    <w:p w14:paraId="6E7ED480" w14:textId="77777777" w:rsidR="00F43444" w:rsidRDefault="00FA2870">
      <w:pPr>
        <w:spacing w:after="0" w:line="240" w:lineRule="auto"/>
        <w:jc w:val="both"/>
        <w:rPr>
          <w:rFonts w:ascii="Times New Roman" w:eastAsia="Times New Roman" w:hAnsi="Times New Roman" w:cs="Times New Roman"/>
        </w:rPr>
      </w:pPr>
      <w:r>
        <w:rPr>
          <w:rFonts w:ascii="Times New Roman" w:eastAsia="Times New Roman" w:hAnsi="Times New Roman" w:cs="Times New Roman"/>
          <w:lang w:val="en-GB"/>
        </w:rPr>
        <w:t xml:space="preserve">Mr. Auerbach added, “We anticipate the following key milestones over the next 12 months: </w:t>
      </w:r>
      <w:r>
        <w:rPr>
          <w:rFonts w:ascii="Times New Roman" w:eastAsia="Times New Roman" w:hAnsi="Times New Roman" w:cs="Times New Roman"/>
        </w:rPr>
        <w:t xml:space="preserve">(i) in the third quarter of 2018, a decision by the European Commission (EC) regarding the Marketing </w:t>
      </w:r>
      <w:proofErr w:type="spellStart"/>
      <w:r>
        <w:rPr>
          <w:rFonts w:ascii="Times New Roman" w:eastAsia="Times New Roman" w:hAnsi="Times New Roman" w:cs="Times New Roman"/>
        </w:rPr>
        <w:lastRenderedPageBreak/>
        <w:t>Authorisation</w:t>
      </w:r>
      <w:proofErr w:type="spellEnd"/>
      <w:r>
        <w:rPr>
          <w:rFonts w:ascii="Times New Roman" w:eastAsia="Times New Roman" w:hAnsi="Times New Roman" w:cs="Times New Roman"/>
        </w:rPr>
        <w:t xml:space="preserve"> Application for neratinib; (ii) in the second half of 2018 or first half of  2019, reporting data from the Phase III NALA trial in third-line metastatic breast cancer patients; (iii) in the second half of 2018 and first half of 2019, submitting for regulatory approval of NERLYNX for the extended adjuvant HER2-positive early stage breast cancer indication in additional countries; (iv) in the fourth quarter of 2018, reporting additional data from the Phase II CONTROL trial; and (v) in the fourth quarter of 2018 and first half of 2019, reporting additional data from the Phase II SUMMIT trial.” </w:t>
      </w:r>
    </w:p>
    <w:p w14:paraId="12AB1901" w14:textId="77777777" w:rsidR="00F43444" w:rsidRDefault="00F43444">
      <w:pPr>
        <w:spacing w:after="0" w:line="240" w:lineRule="auto"/>
        <w:jc w:val="both"/>
        <w:rPr>
          <w:rFonts w:ascii="Times New Roman" w:eastAsia="Times New Roman" w:hAnsi="Times New Roman" w:cs="Times New Roman"/>
        </w:rPr>
      </w:pPr>
    </w:p>
    <w:p w14:paraId="48EB016C" w14:textId="77777777" w:rsidR="00F43444" w:rsidRDefault="00FA2870">
      <w:pPr>
        <w:spacing w:after="0" w:line="240" w:lineRule="auto"/>
        <w:jc w:val="both"/>
        <w:rPr>
          <w:rFonts w:ascii="Times New Roman" w:eastAsia="PMingLiU" w:hAnsi="Times New Roman" w:cs="Times New Roman"/>
          <w:b/>
        </w:rPr>
      </w:pPr>
      <w:r>
        <w:rPr>
          <w:rFonts w:ascii="Times New Roman" w:eastAsia="PMingLiU" w:hAnsi="Times New Roman" w:cs="Times New Roman"/>
          <w:b/>
        </w:rPr>
        <w:t xml:space="preserve">Revenue  </w:t>
      </w:r>
    </w:p>
    <w:p w14:paraId="7AA25FB4" w14:textId="77777777" w:rsidR="00F43444" w:rsidRDefault="00F43444">
      <w:pPr>
        <w:spacing w:after="0" w:line="240" w:lineRule="auto"/>
        <w:jc w:val="both"/>
        <w:rPr>
          <w:rFonts w:ascii="Times New Roman" w:eastAsia="PMingLiU" w:hAnsi="Times New Roman" w:cs="Times New Roman"/>
        </w:rPr>
      </w:pPr>
    </w:p>
    <w:p w14:paraId="423E6391" w14:textId="77777777" w:rsidR="00F43444" w:rsidRDefault="00FA2870">
      <w:pPr>
        <w:spacing w:after="0" w:line="240" w:lineRule="auto"/>
        <w:jc w:val="both"/>
        <w:rPr>
          <w:rFonts w:ascii="Times New Roman" w:eastAsia="Times New Roman" w:hAnsi="Times New Roman" w:cs="Times New Roman"/>
          <w:lang w:val="en-GB"/>
        </w:rPr>
      </w:pPr>
      <w:r>
        <w:rPr>
          <w:rFonts w:ascii="Times New Roman" w:eastAsia="PMingLiU" w:hAnsi="Times New Roman" w:cs="Times New Roman"/>
        </w:rPr>
        <w:t xml:space="preserve">Total revenue consists of net product revenue from sales of NERLYNX, Puma’s first and only commercial product to date, and license revenue. The FDA approved NERLYNX for commercial sale in the United States in July 2017 and Puma commenced shipment to wholesalers in late July. </w:t>
      </w:r>
      <w:r>
        <w:rPr>
          <w:rFonts w:ascii="Times New Roman" w:eastAsia="Times New Roman" w:hAnsi="Times New Roman" w:cs="Times New Roman"/>
          <w:lang w:val="en-GB"/>
        </w:rPr>
        <w:t xml:space="preserve">For the second quarter of 2018, total revenue was $50.8 million, all of which was net product revenue.  For the first six months of 2018, total revenue was $117.3 million, of which $86.8 million was net product revenue and $30.5 million was license revenue received from Puma’s sub-licensees. </w:t>
      </w:r>
    </w:p>
    <w:p w14:paraId="6E7E9028" w14:textId="77777777" w:rsidR="00F43444" w:rsidRDefault="00F43444">
      <w:pPr>
        <w:spacing w:after="0" w:line="240" w:lineRule="auto"/>
        <w:jc w:val="both"/>
        <w:rPr>
          <w:rFonts w:ascii="Times New Roman" w:eastAsia="Times New Roman" w:hAnsi="Times New Roman" w:cs="Times New Roman"/>
          <w:lang w:val="en-GB"/>
        </w:rPr>
      </w:pPr>
    </w:p>
    <w:p w14:paraId="086D509C" w14:textId="77777777" w:rsidR="00F43444" w:rsidRDefault="00FA2870">
      <w:pPr>
        <w:widowControl/>
        <w:autoSpaceDE/>
        <w:autoSpaceDN/>
        <w:adjustRightInd/>
        <w:spacing w:after="0" w:line="240" w:lineRule="auto"/>
        <w:rPr>
          <w:rFonts w:ascii="Times New Roman" w:eastAsia="Times New Roman" w:hAnsi="Times New Roman" w:cs="Times New Roman"/>
          <w:b/>
          <w:lang w:val="en-GB"/>
        </w:rPr>
      </w:pPr>
      <w:r>
        <w:rPr>
          <w:rFonts w:ascii="Times New Roman" w:eastAsia="Times New Roman" w:hAnsi="Times New Roman" w:cs="Times New Roman"/>
          <w:b/>
          <w:lang w:val="en-GB"/>
        </w:rPr>
        <w:t xml:space="preserve">Operating </w:t>
      </w:r>
      <w:r w:rsidR="008514F4">
        <w:rPr>
          <w:rFonts w:ascii="Times New Roman" w:eastAsia="Times New Roman" w:hAnsi="Times New Roman" w:cs="Times New Roman"/>
          <w:b/>
          <w:lang w:val="en-GB"/>
        </w:rPr>
        <w:t xml:space="preserve">Costs and </w:t>
      </w:r>
      <w:r>
        <w:rPr>
          <w:rFonts w:ascii="Times New Roman" w:eastAsia="Times New Roman" w:hAnsi="Times New Roman" w:cs="Times New Roman"/>
          <w:b/>
          <w:lang w:val="en-GB"/>
        </w:rPr>
        <w:t xml:space="preserve">Expenses </w:t>
      </w:r>
    </w:p>
    <w:p w14:paraId="64BA30BC" w14:textId="77777777" w:rsidR="00F43444" w:rsidRDefault="00F43444">
      <w:pPr>
        <w:widowControl/>
        <w:autoSpaceDE/>
        <w:autoSpaceDN/>
        <w:adjustRightInd/>
        <w:spacing w:after="0" w:line="240" w:lineRule="auto"/>
        <w:rPr>
          <w:rFonts w:ascii="Times New Roman" w:eastAsia="Times New Roman" w:hAnsi="Times New Roman" w:cs="Times New Roman"/>
          <w:lang w:val="en-GB"/>
        </w:rPr>
      </w:pPr>
    </w:p>
    <w:p w14:paraId="55EC81C0" w14:textId="77777777" w:rsidR="00F43444" w:rsidRDefault="00FA2870">
      <w:pPr>
        <w:autoSpaceDE/>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Operating </w:t>
      </w:r>
      <w:r w:rsidR="008514F4">
        <w:rPr>
          <w:rFonts w:ascii="Times New Roman" w:eastAsia="Times New Roman" w:hAnsi="Times New Roman" w:cs="Times New Roman"/>
          <w:lang w:val="en-GB"/>
        </w:rPr>
        <w:t xml:space="preserve">costs and </w:t>
      </w:r>
      <w:r>
        <w:rPr>
          <w:rFonts w:ascii="Times New Roman" w:eastAsia="Times New Roman" w:hAnsi="Times New Roman" w:cs="Times New Roman"/>
          <w:lang w:val="en-GB"/>
        </w:rPr>
        <w:t xml:space="preserve">expenses were $92.2 million for the second quarter of 2018, compared to $78.2 million for the second quarter of 2017.  Operating </w:t>
      </w:r>
      <w:r w:rsidR="008514F4">
        <w:rPr>
          <w:rFonts w:ascii="Times New Roman" w:eastAsia="Times New Roman" w:hAnsi="Times New Roman" w:cs="Times New Roman"/>
          <w:lang w:val="en-GB"/>
        </w:rPr>
        <w:t xml:space="preserve">costs and </w:t>
      </w:r>
      <w:r>
        <w:rPr>
          <w:rFonts w:ascii="Times New Roman" w:eastAsia="Times New Roman" w:hAnsi="Times New Roman" w:cs="Times New Roman"/>
          <w:lang w:val="en-GB"/>
        </w:rPr>
        <w:t>expenses for the first six months of 2018 were $182.1 million, compared to $151.4 million for the first six months of 2017.</w:t>
      </w:r>
    </w:p>
    <w:p w14:paraId="6D3A7A57" w14:textId="77777777" w:rsidR="00F43444" w:rsidRDefault="00F43444">
      <w:pPr>
        <w:autoSpaceDE/>
        <w:adjustRightInd/>
        <w:spacing w:after="0" w:line="240" w:lineRule="auto"/>
        <w:jc w:val="both"/>
        <w:rPr>
          <w:rFonts w:ascii="Times New Roman" w:eastAsia="Times New Roman" w:hAnsi="Times New Roman" w:cs="Times New Roman"/>
        </w:rPr>
      </w:pPr>
    </w:p>
    <w:p w14:paraId="77744267" w14:textId="77777777" w:rsidR="00F43444" w:rsidRDefault="00FA2870">
      <w:pPr>
        <w:spacing w:after="0" w:line="240" w:lineRule="auto"/>
        <w:jc w:val="both"/>
        <w:rPr>
          <w:rFonts w:ascii="Times New Roman" w:eastAsia="PMingLiU" w:hAnsi="Times New Roman" w:cs="Times New Roman"/>
          <w:b/>
          <w:i/>
          <w:iCs/>
          <w:color w:val="000000"/>
        </w:rPr>
      </w:pPr>
      <w:r>
        <w:rPr>
          <w:rFonts w:ascii="Times New Roman" w:eastAsia="PMingLiU" w:hAnsi="Times New Roman" w:cs="Times New Roman"/>
          <w:b/>
          <w:i/>
          <w:iCs/>
          <w:color w:val="000000"/>
        </w:rPr>
        <w:t>Cost of Sales:</w:t>
      </w:r>
    </w:p>
    <w:p w14:paraId="422471B6" w14:textId="77777777" w:rsidR="00F43444" w:rsidRDefault="00F43444">
      <w:pPr>
        <w:spacing w:after="0" w:line="240" w:lineRule="auto"/>
        <w:jc w:val="both"/>
        <w:rPr>
          <w:rFonts w:ascii="Times New Roman" w:eastAsia="PMingLiU" w:hAnsi="Times New Roman" w:cs="Times New Roman"/>
          <w:i/>
          <w:iCs/>
          <w:color w:val="000000"/>
        </w:rPr>
      </w:pPr>
    </w:p>
    <w:p w14:paraId="0B2B3C8B" w14:textId="77777777" w:rsidR="00F43444" w:rsidRDefault="00FA2870">
      <w:pPr>
        <w:spacing w:after="0" w:line="240" w:lineRule="auto"/>
        <w:jc w:val="both"/>
        <w:rPr>
          <w:rFonts w:ascii="Times New Roman" w:eastAsia="PMingLiU" w:hAnsi="Times New Roman" w:cs="Times New Roman"/>
          <w:iCs/>
          <w:color w:val="000000"/>
        </w:rPr>
      </w:pPr>
      <w:r>
        <w:rPr>
          <w:rFonts w:ascii="Times New Roman" w:eastAsia="PMingLiU" w:hAnsi="Times New Roman" w:cs="Times New Roman"/>
          <w:iCs/>
          <w:color w:val="000000"/>
        </w:rPr>
        <w:t xml:space="preserve">Cost of sales was </w:t>
      </w:r>
      <w:r>
        <w:rPr>
          <w:rFonts w:ascii="Times New Roman" w:eastAsia="Times New Roman" w:hAnsi="Times New Roman" w:cs="Times New Roman"/>
          <w:lang w:val="en-GB"/>
        </w:rPr>
        <w:t>$8.8 million for the second quarter of 2018 and $15.2 million for the first six months of 2018</w:t>
      </w:r>
      <w:r>
        <w:rPr>
          <w:rFonts w:ascii="Times New Roman" w:eastAsia="PMingLiU" w:hAnsi="Times New Roman" w:cs="Times New Roman"/>
          <w:iCs/>
          <w:color w:val="000000"/>
        </w:rPr>
        <w:t>.  The Company had no product sales prior to the third quarter of 2017.</w:t>
      </w:r>
    </w:p>
    <w:p w14:paraId="14BE69C7" w14:textId="77777777" w:rsidR="00F43444" w:rsidRDefault="00F43444">
      <w:pPr>
        <w:widowControl/>
        <w:autoSpaceDE/>
        <w:autoSpaceDN/>
        <w:adjustRightInd/>
        <w:spacing w:after="0" w:line="240" w:lineRule="auto"/>
        <w:rPr>
          <w:rFonts w:ascii="Times New Roman" w:eastAsia="Times New Roman" w:hAnsi="Times New Roman" w:cs="Times New Roman"/>
          <w:lang w:val="en-GB"/>
        </w:rPr>
      </w:pPr>
    </w:p>
    <w:p w14:paraId="67ECC37E" w14:textId="77777777" w:rsidR="00F43444" w:rsidRDefault="00FA2870">
      <w:pPr>
        <w:widowControl/>
        <w:autoSpaceDE/>
        <w:autoSpaceDN/>
        <w:adjustRightInd/>
        <w:spacing w:after="0" w:line="240" w:lineRule="auto"/>
        <w:jc w:val="both"/>
        <w:rPr>
          <w:rFonts w:ascii="Times New Roman" w:eastAsia="Times New Roman" w:hAnsi="Times New Roman" w:cs="Times New Roman"/>
          <w:b/>
          <w:i/>
          <w:lang w:val="en-GB"/>
        </w:rPr>
      </w:pPr>
      <w:r>
        <w:rPr>
          <w:rFonts w:ascii="Times New Roman" w:eastAsia="Times New Roman" w:hAnsi="Times New Roman" w:cs="Times New Roman"/>
          <w:b/>
          <w:i/>
          <w:lang w:val="en-GB"/>
        </w:rPr>
        <w:t xml:space="preserve">Selling, General and Administrative Expenses: </w:t>
      </w:r>
    </w:p>
    <w:p w14:paraId="0114AE91" w14:textId="77777777" w:rsidR="00F43444" w:rsidRDefault="00F43444">
      <w:pPr>
        <w:widowControl/>
        <w:autoSpaceDE/>
        <w:autoSpaceDN/>
        <w:adjustRightInd/>
        <w:spacing w:after="0" w:line="240" w:lineRule="auto"/>
        <w:jc w:val="both"/>
        <w:rPr>
          <w:rFonts w:ascii="Times New Roman" w:eastAsia="Times New Roman" w:hAnsi="Times New Roman" w:cs="Times New Roman"/>
          <w:lang w:val="en-GB"/>
        </w:rPr>
      </w:pPr>
    </w:p>
    <w:p w14:paraId="4CEAF977" w14:textId="7E203883" w:rsidR="008A7C6D" w:rsidRDefault="008A7C6D" w:rsidP="008A7C6D">
      <w:pPr>
        <w:spacing w:after="0" w:line="240" w:lineRule="auto"/>
        <w:jc w:val="both"/>
        <w:rPr>
          <w:rFonts w:ascii="Times New Roman" w:hAnsi="Times New Roman"/>
          <w:lang w:val="en-GB"/>
        </w:rPr>
      </w:pPr>
      <w:r>
        <w:rPr>
          <w:rFonts w:ascii="Times New Roman" w:hAnsi="Times New Roman"/>
          <w:lang w:val="en-GB"/>
        </w:rPr>
        <w:t xml:space="preserve">Selling, general and administrative expenses were $40.1 million for the second quarter of 2018, compared to $24.9 million for the second quarter of 2017. SG&amp;A expenses for the first six months of 2018 were $76.7 million, compared to $43.3 million for the first six months of 2017.  This approximately $33.4 million increase was attributable to an increase </w:t>
      </w:r>
      <w:r w:rsidR="00466F20">
        <w:rPr>
          <w:rFonts w:ascii="Times New Roman" w:hAnsi="Times New Roman"/>
          <w:lang w:val="en-GB"/>
        </w:rPr>
        <w:t xml:space="preserve">of approximately $8.5 million </w:t>
      </w:r>
      <w:r>
        <w:rPr>
          <w:rFonts w:ascii="Times New Roman" w:hAnsi="Times New Roman"/>
          <w:lang w:val="en-GB"/>
        </w:rPr>
        <w:t>in external expenses</w:t>
      </w:r>
      <w:r w:rsidR="00466F20">
        <w:rPr>
          <w:rFonts w:ascii="Times New Roman" w:hAnsi="Times New Roman"/>
          <w:lang w:val="en-GB"/>
        </w:rPr>
        <w:t xml:space="preserve">, </w:t>
      </w:r>
      <w:r>
        <w:rPr>
          <w:rFonts w:ascii="Times New Roman" w:hAnsi="Times New Roman"/>
          <w:lang w:val="en-GB"/>
        </w:rPr>
        <w:t>such as marketing, commercialization support and commercial strategy.  Additionally, internal expenses increased approximately $22.0 million</w:t>
      </w:r>
      <w:r w:rsidR="00466F20">
        <w:rPr>
          <w:rFonts w:ascii="Times New Roman" w:hAnsi="Times New Roman"/>
          <w:lang w:val="en-GB"/>
        </w:rPr>
        <w:t>,</w:t>
      </w:r>
      <w:r>
        <w:rPr>
          <w:rFonts w:ascii="Times New Roman" w:hAnsi="Times New Roman"/>
          <w:lang w:val="en-GB"/>
        </w:rPr>
        <w:t xml:space="preserve"> primarily due to the hiring of a salesforce for the commercialization of NERLYNX in the United States.  Finally, employee stock-based compensation increased approximately $2.9 million due to the </w:t>
      </w:r>
      <w:r w:rsidR="00466F20">
        <w:rPr>
          <w:rFonts w:ascii="Times New Roman" w:hAnsi="Times New Roman"/>
          <w:lang w:val="en-GB"/>
        </w:rPr>
        <w:t xml:space="preserve">hiring of </w:t>
      </w:r>
      <w:r w:rsidR="00B46F35">
        <w:rPr>
          <w:rFonts w:ascii="Times New Roman" w:hAnsi="Times New Roman"/>
          <w:lang w:val="en-GB"/>
        </w:rPr>
        <w:t>the</w:t>
      </w:r>
      <w:r>
        <w:rPr>
          <w:rFonts w:ascii="Times New Roman" w:hAnsi="Times New Roman"/>
          <w:lang w:val="en-GB"/>
        </w:rPr>
        <w:t xml:space="preserve"> salesforce in conjunction with the NERLYNX commercial launch.</w:t>
      </w:r>
      <w:r w:rsidR="00CA7BBC">
        <w:rPr>
          <w:rFonts w:ascii="Times New Roman" w:hAnsi="Times New Roman"/>
          <w:lang w:val="en-GB"/>
        </w:rPr>
        <w:t xml:space="preserve">  Puma expects SG&amp;A expenses in 2018 and into 2019 to remain higher than in 2017 as it launches NERLYNX commercially in the United States and other territories.</w:t>
      </w:r>
    </w:p>
    <w:p w14:paraId="28AA4E30" w14:textId="77777777" w:rsidR="008A7C6D" w:rsidRDefault="008A7C6D">
      <w:pPr>
        <w:widowControl/>
        <w:autoSpaceDE/>
        <w:autoSpaceDN/>
        <w:adjustRightInd/>
        <w:spacing w:after="0" w:line="240" w:lineRule="auto"/>
        <w:jc w:val="both"/>
        <w:rPr>
          <w:rFonts w:ascii="Times New Roman" w:eastAsia="Times New Roman" w:hAnsi="Times New Roman" w:cs="Times New Roman"/>
          <w:lang w:val="en-GB"/>
        </w:rPr>
      </w:pPr>
    </w:p>
    <w:p w14:paraId="6FB6A7CC" w14:textId="77777777" w:rsidR="00F43444" w:rsidRDefault="00FA2870">
      <w:pPr>
        <w:widowControl/>
        <w:autoSpaceDE/>
        <w:autoSpaceDN/>
        <w:adjustRightInd/>
        <w:spacing w:after="0" w:line="240" w:lineRule="auto"/>
        <w:jc w:val="both"/>
        <w:rPr>
          <w:rFonts w:ascii="Times New Roman" w:eastAsia="Times New Roman" w:hAnsi="Times New Roman" w:cs="Times New Roman"/>
          <w:b/>
          <w:i/>
          <w:lang w:val="en-GB"/>
        </w:rPr>
      </w:pPr>
      <w:r>
        <w:rPr>
          <w:rFonts w:ascii="Times New Roman" w:eastAsia="Times New Roman" w:hAnsi="Times New Roman" w:cs="Times New Roman"/>
          <w:b/>
          <w:i/>
          <w:lang w:val="en-GB"/>
        </w:rPr>
        <w:t xml:space="preserve">Research and Development Expenses: </w:t>
      </w:r>
    </w:p>
    <w:p w14:paraId="4D5034C5" w14:textId="77777777" w:rsidR="00F43444" w:rsidRDefault="00F43444">
      <w:pPr>
        <w:widowControl/>
        <w:autoSpaceDE/>
        <w:autoSpaceDN/>
        <w:adjustRightInd/>
        <w:spacing w:after="0" w:line="240" w:lineRule="auto"/>
        <w:jc w:val="both"/>
        <w:rPr>
          <w:rFonts w:ascii="Times New Roman" w:eastAsia="Times New Roman" w:hAnsi="Times New Roman" w:cs="Times New Roman"/>
          <w:lang w:val="en-GB"/>
        </w:rPr>
      </w:pPr>
    </w:p>
    <w:p w14:paraId="1905468E" w14:textId="00463B4D" w:rsidR="004204FB" w:rsidRDefault="00FA2870" w:rsidP="00630ADA">
      <w:pPr>
        <w:widowControl/>
        <w:autoSpaceDE/>
        <w:autoSpaceDN/>
        <w:adjustRightInd/>
        <w:spacing w:after="0" w:line="240" w:lineRule="auto"/>
        <w:jc w:val="both"/>
        <w:rPr>
          <w:rFonts w:ascii="Times New Roman" w:hAnsi="Times New Roman"/>
          <w:lang w:val="en-GB"/>
        </w:rPr>
      </w:pPr>
      <w:r>
        <w:rPr>
          <w:rFonts w:ascii="Times New Roman" w:eastAsia="Times New Roman" w:hAnsi="Times New Roman" w:cs="Times New Roman"/>
          <w:lang w:val="en-GB"/>
        </w:rPr>
        <w:t xml:space="preserve">Research and development (R&amp;D) expenses were $43.3 million for the second quarter of 2018, compared to $53.3 million for the second quarter of 2017.  R&amp;D expenses for the first six months of 2018 were $90.2 million, compared to $108.1 million for the first six months of 2017. </w:t>
      </w:r>
      <w:r w:rsidR="00630ADA">
        <w:rPr>
          <w:rFonts w:ascii="Times New Roman" w:eastAsia="Times New Roman" w:hAnsi="Times New Roman" w:cs="Times New Roman"/>
          <w:lang w:val="en-GB"/>
        </w:rPr>
        <w:t xml:space="preserve">  </w:t>
      </w:r>
      <w:r w:rsidR="004204FB">
        <w:rPr>
          <w:rFonts w:ascii="Times New Roman" w:hAnsi="Times New Roman"/>
          <w:lang w:val="en-GB"/>
        </w:rPr>
        <w:t xml:space="preserve">The $17.9 million </w:t>
      </w:r>
      <w:r w:rsidR="009F1AB5">
        <w:rPr>
          <w:rFonts w:ascii="Times New Roman" w:hAnsi="Times New Roman"/>
          <w:lang w:val="en-GB"/>
        </w:rPr>
        <w:t xml:space="preserve">year-to-date </w:t>
      </w:r>
      <w:r w:rsidR="004204FB">
        <w:rPr>
          <w:rFonts w:ascii="Times New Roman" w:hAnsi="Times New Roman"/>
          <w:lang w:val="en-GB"/>
        </w:rPr>
        <w:t>decrease resulted primarily from a dec</w:t>
      </w:r>
      <w:bookmarkStart w:id="0" w:name="_GoBack"/>
      <w:bookmarkEnd w:id="0"/>
      <w:r w:rsidR="004204FB">
        <w:rPr>
          <w:rFonts w:ascii="Times New Roman" w:hAnsi="Times New Roman"/>
          <w:lang w:val="en-GB"/>
        </w:rPr>
        <w:t>rease of approximately $12.1 million for stock-based compensation and a decrease of approximately $9.</w:t>
      </w:r>
      <w:r w:rsidR="00C8273B">
        <w:rPr>
          <w:rFonts w:ascii="Times New Roman" w:hAnsi="Times New Roman"/>
          <w:lang w:val="en-GB"/>
        </w:rPr>
        <w:t xml:space="preserve">0 </w:t>
      </w:r>
      <w:r w:rsidR="004204FB">
        <w:rPr>
          <w:rFonts w:ascii="Times New Roman" w:hAnsi="Times New Roman"/>
          <w:lang w:val="en-GB"/>
        </w:rPr>
        <w:t>million for clinical trial expenses.  This was partially offset by an increase of approximately $</w:t>
      </w:r>
      <w:r w:rsidR="004204FB">
        <w:rPr>
          <w:rFonts w:ascii="Times New Roman" w:hAnsi="Times New Roman"/>
          <w:lang w:val="en-GB"/>
        </w:rPr>
        <w:t>3.</w:t>
      </w:r>
      <w:r w:rsidR="00B92E74">
        <w:rPr>
          <w:rFonts w:ascii="Times New Roman" w:hAnsi="Times New Roman"/>
          <w:lang w:val="en-GB"/>
        </w:rPr>
        <w:t>2</w:t>
      </w:r>
      <w:r w:rsidR="004204FB">
        <w:rPr>
          <w:rFonts w:ascii="Times New Roman" w:hAnsi="Times New Roman"/>
          <w:lang w:val="en-GB"/>
        </w:rPr>
        <w:t xml:space="preserve"> million </w:t>
      </w:r>
      <w:r w:rsidR="004204FB">
        <w:rPr>
          <w:rFonts w:ascii="Times New Roman" w:hAnsi="Times New Roman"/>
          <w:lang w:val="en-GB"/>
        </w:rPr>
        <w:t>in other expenses</w:t>
      </w:r>
      <w:r w:rsidR="00ED1478">
        <w:rPr>
          <w:rFonts w:ascii="Times New Roman" w:hAnsi="Times New Roman"/>
          <w:lang w:val="en-GB"/>
        </w:rPr>
        <w:t>,</w:t>
      </w:r>
      <w:r w:rsidR="004204FB">
        <w:rPr>
          <w:rFonts w:ascii="Times New Roman" w:hAnsi="Times New Roman"/>
          <w:lang w:val="en-GB"/>
        </w:rPr>
        <w:t xml:space="preserve"> such</w:t>
      </w:r>
      <w:r w:rsidR="00ED1478">
        <w:rPr>
          <w:rFonts w:ascii="Times New Roman" w:hAnsi="Times New Roman"/>
          <w:lang w:val="en-GB"/>
        </w:rPr>
        <w:t xml:space="preserve"> as</w:t>
      </w:r>
      <w:r w:rsidR="004204FB">
        <w:rPr>
          <w:rFonts w:ascii="Times New Roman" w:hAnsi="Times New Roman"/>
          <w:lang w:val="en-GB"/>
        </w:rPr>
        <w:t xml:space="preserve"> additional personnel needed to support medical affairs and quality assurance.  We expect R&amp;D expenses in 2018 to continue to decline slightly when compared with R&amp;D expenses in 2017 based on a decline in clinical trial activities as existing trials continue to wind down.</w:t>
      </w:r>
    </w:p>
    <w:p w14:paraId="7A707905" w14:textId="77777777" w:rsidR="004204FB" w:rsidRDefault="004204FB">
      <w:pPr>
        <w:widowControl/>
        <w:autoSpaceDE/>
        <w:autoSpaceDN/>
        <w:adjustRightInd/>
        <w:spacing w:after="0" w:line="240" w:lineRule="auto"/>
        <w:jc w:val="both"/>
        <w:rPr>
          <w:rFonts w:ascii="Times New Roman" w:eastAsia="Times New Roman" w:hAnsi="Times New Roman" w:cs="Times New Roman"/>
          <w:lang w:val="en-GB"/>
        </w:rPr>
      </w:pPr>
    </w:p>
    <w:p w14:paraId="692DF538" w14:textId="77777777" w:rsidR="00F43444" w:rsidRDefault="00FA2870">
      <w:pPr>
        <w:autoSpaceDE/>
        <w:autoSpaceDN/>
        <w:adjustRightInd/>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Ab</w:t>
      </w:r>
      <w:r>
        <w:rPr>
          <w:rFonts w:ascii="Times New Roman" w:eastAsia="Times New Roman" w:hAnsi="Times New Roman" w:cs="Times New Roman"/>
          <w:b/>
          <w:spacing w:val="-1"/>
        </w:rPr>
        <w:t>o</w:t>
      </w:r>
      <w:r>
        <w:rPr>
          <w:rFonts w:ascii="Times New Roman" w:eastAsia="Times New Roman" w:hAnsi="Times New Roman" w:cs="Times New Roman"/>
          <w:b/>
        </w:rPr>
        <w:t>ut Puma Biotechnology</w:t>
      </w:r>
    </w:p>
    <w:p w14:paraId="232563FA" w14:textId="77777777" w:rsidR="00F43444" w:rsidRDefault="00F43444">
      <w:pPr>
        <w:autoSpaceDE/>
        <w:autoSpaceDN/>
        <w:adjustRightInd/>
        <w:spacing w:after="0" w:line="240" w:lineRule="auto"/>
        <w:jc w:val="both"/>
        <w:rPr>
          <w:rFonts w:ascii="Times New Roman" w:eastAsia="Times New Roman" w:hAnsi="Times New Roman" w:cs="Times New Roman"/>
        </w:rPr>
      </w:pPr>
    </w:p>
    <w:p w14:paraId="6C79203F" w14:textId="77777777" w:rsidR="00F43444" w:rsidRDefault="00FA2870">
      <w:pPr>
        <w:spacing w:after="0" w:line="240" w:lineRule="auto"/>
        <w:jc w:val="both"/>
        <w:rPr>
          <w:rFonts w:ascii="Times New Roman" w:hAnsi="Times New Roman" w:cs="Times New Roman"/>
          <w:szCs w:val="24"/>
          <w:lang w:val="en-GB"/>
        </w:rPr>
      </w:pPr>
      <w:r>
        <w:rPr>
          <w:rFonts w:ascii="Times New Roman" w:hAnsi="Times New Roman" w:cs="Times New Roman"/>
          <w:color w:val="000000"/>
        </w:rPr>
        <w:lastRenderedPageBreak/>
        <w:t xml:space="preserve">Puma Biotechnology, Inc. is a biopharmaceutical company with a focus on the development and commercialization of innovative products to enhance cancer care. </w:t>
      </w:r>
      <w:proofErr w:type="gramStart"/>
      <w:r>
        <w:rPr>
          <w:rFonts w:ascii="Times New Roman" w:hAnsi="Times New Roman" w:cs="Times New Roman"/>
          <w:color w:val="000000"/>
        </w:rPr>
        <w:t>The Company in-licenses the global development and commercialization rights to three drug candidates — PB272 (neratinib, oral), PB272 (neratinib, intravenous) and PB357.</w:t>
      </w:r>
      <w:proofErr w:type="gramEnd"/>
      <w:r>
        <w:rPr>
          <w:rFonts w:ascii="Times New Roman" w:hAnsi="Times New Roman" w:cs="Times New Roman"/>
          <w:color w:val="000000"/>
        </w:rPr>
        <w:t xml:space="preserve"> Neratinib, oral was approved by the U.S. Food and Drug Administration in July 2017 for the extended adjuvant treatment of adult patients with early stage HER2-overexpressed/amplified breast cancer, following adjuvant trastuzumab-based therapy, and is marketed in the United States as NERLYNX® (neratinib) tablets. NERLYNX is a registered trademark of Puma Biotechnology, Inc.</w:t>
      </w:r>
    </w:p>
    <w:p w14:paraId="7DD6F417" w14:textId="77777777" w:rsidR="00F43444" w:rsidRDefault="00F43444">
      <w:pPr>
        <w:autoSpaceDE/>
        <w:autoSpaceDN/>
        <w:adjustRightInd/>
        <w:spacing w:after="0" w:line="240" w:lineRule="auto"/>
        <w:jc w:val="both"/>
        <w:rPr>
          <w:rFonts w:ascii="Times New Roman" w:eastAsia="Times New Roman" w:hAnsi="Times New Roman" w:cs="Times New Roman"/>
        </w:rPr>
      </w:pPr>
    </w:p>
    <w:p w14:paraId="3A5F0314"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IMPORTANT SAFETY INFORMATION</w:t>
      </w:r>
    </w:p>
    <w:p w14:paraId="6A05DF52" w14:textId="77777777" w:rsidR="00F43444" w:rsidRDefault="00F43444">
      <w:pPr>
        <w:autoSpaceDE/>
        <w:autoSpaceDN/>
        <w:adjustRightInd/>
        <w:spacing w:after="0" w:line="240" w:lineRule="auto"/>
        <w:ind w:right="-20"/>
        <w:rPr>
          <w:rFonts w:ascii="Times New Roman" w:eastAsia="PMingLiU" w:hAnsi="Times New Roman" w:cs="Times New Roman"/>
          <w:b/>
        </w:rPr>
      </w:pPr>
    </w:p>
    <w:p w14:paraId="7E552A72"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NERLYNX ® (neratinib) tablets, for oral use</w:t>
      </w:r>
    </w:p>
    <w:p w14:paraId="244A5991" w14:textId="77777777" w:rsidR="00F43444" w:rsidRDefault="00F43444">
      <w:pPr>
        <w:autoSpaceDE/>
        <w:autoSpaceDN/>
        <w:adjustRightInd/>
        <w:spacing w:after="0" w:line="240" w:lineRule="auto"/>
        <w:ind w:right="-20"/>
        <w:rPr>
          <w:rFonts w:ascii="Times New Roman" w:eastAsia="PMingLiU" w:hAnsi="Times New Roman" w:cs="Times New Roman"/>
        </w:rPr>
      </w:pPr>
    </w:p>
    <w:p w14:paraId="535AD6C8" w14:textId="77777777" w:rsidR="00F43444" w:rsidRDefault="00FA2870" w:rsidP="00A16553">
      <w:pPr>
        <w:autoSpaceDE/>
        <w:autoSpaceDN/>
        <w:adjustRightInd/>
        <w:spacing w:after="0" w:line="240" w:lineRule="auto"/>
        <w:ind w:right="-20"/>
        <w:jc w:val="both"/>
        <w:rPr>
          <w:rFonts w:ascii="Times New Roman" w:eastAsia="PMingLiU" w:hAnsi="Times New Roman" w:cs="Times New Roman"/>
        </w:rPr>
      </w:pPr>
      <w:r>
        <w:rPr>
          <w:rFonts w:ascii="Times New Roman" w:eastAsia="PMingLiU" w:hAnsi="Times New Roman" w:cs="Times New Roman"/>
          <w:b/>
        </w:rPr>
        <w:t>INDICATIONS AND USAGE:</w:t>
      </w:r>
      <w:r>
        <w:rPr>
          <w:rFonts w:ascii="Times New Roman" w:eastAsia="PMingLiU" w:hAnsi="Times New Roman" w:cs="Times New Roman"/>
        </w:rPr>
        <w:t xml:space="preserve"> NERLYNX is a kinase inhibitor indicated for the extended adjuvant treatment of adult patients with early-stage HER2 overexpressed/amplified breast cancer, to follow adjuvant trastuzumab-based therapy.</w:t>
      </w:r>
    </w:p>
    <w:p w14:paraId="5EEE9EF4" w14:textId="77777777" w:rsidR="00F43444" w:rsidRDefault="00F43444">
      <w:pPr>
        <w:autoSpaceDE/>
        <w:autoSpaceDN/>
        <w:adjustRightInd/>
        <w:spacing w:after="0" w:line="240" w:lineRule="auto"/>
        <w:ind w:right="-20"/>
        <w:rPr>
          <w:rFonts w:ascii="Times New Roman" w:eastAsia="PMingLiU" w:hAnsi="Times New Roman" w:cs="Times New Roman"/>
        </w:rPr>
      </w:pPr>
    </w:p>
    <w:p w14:paraId="0354F0DA" w14:textId="77777777" w:rsidR="00F43444" w:rsidRDefault="00FA2870">
      <w:pPr>
        <w:autoSpaceDE/>
        <w:autoSpaceDN/>
        <w:adjustRightInd/>
        <w:spacing w:after="0" w:line="240" w:lineRule="auto"/>
        <w:ind w:right="-20"/>
        <w:rPr>
          <w:rFonts w:ascii="Times New Roman" w:eastAsia="PMingLiU" w:hAnsi="Times New Roman" w:cs="Times New Roman"/>
        </w:rPr>
      </w:pPr>
      <w:r>
        <w:rPr>
          <w:rFonts w:ascii="Times New Roman" w:eastAsia="PMingLiU" w:hAnsi="Times New Roman" w:cs="Times New Roman"/>
          <w:b/>
        </w:rPr>
        <w:t>CONTRAINDICATIONS:</w:t>
      </w:r>
      <w:r>
        <w:rPr>
          <w:rFonts w:ascii="Times New Roman" w:eastAsia="PMingLiU" w:hAnsi="Times New Roman" w:cs="Times New Roman"/>
        </w:rPr>
        <w:t xml:space="preserve"> None</w:t>
      </w:r>
    </w:p>
    <w:p w14:paraId="6CA8987C" w14:textId="77777777" w:rsidR="00F43444" w:rsidRDefault="00F43444">
      <w:pPr>
        <w:autoSpaceDE/>
        <w:autoSpaceDN/>
        <w:adjustRightInd/>
        <w:spacing w:after="0" w:line="240" w:lineRule="auto"/>
        <w:ind w:right="-20"/>
        <w:rPr>
          <w:rFonts w:ascii="Times New Roman" w:eastAsia="PMingLiU" w:hAnsi="Times New Roman" w:cs="Times New Roman"/>
        </w:rPr>
      </w:pPr>
    </w:p>
    <w:p w14:paraId="1AEEBD38"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WARNINGS AND PRECAUTIONS:</w:t>
      </w:r>
    </w:p>
    <w:p w14:paraId="53DDD49A" w14:textId="77777777" w:rsidR="00F43444" w:rsidRDefault="00F43444">
      <w:pPr>
        <w:autoSpaceDE/>
        <w:autoSpaceDN/>
        <w:adjustRightInd/>
        <w:spacing w:after="0" w:line="240" w:lineRule="auto"/>
        <w:ind w:right="-20"/>
        <w:rPr>
          <w:rFonts w:ascii="Times New Roman" w:eastAsia="PMingLiU" w:hAnsi="Times New Roman" w:cs="Times New Roman"/>
        </w:rPr>
      </w:pPr>
    </w:p>
    <w:p w14:paraId="0031E7D3" w14:textId="77777777" w:rsidR="00F43444" w:rsidRDefault="00FA2870" w:rsidP="00A16553">
      <w:pPr>
        <w:pStyle w:val="ListParagraph"/>
        <w:numPr>
          <w:ilvl w:val="0"/>
          <w:numId w:val="6"/>
        </w:numPr>
        <w:spacing w:after="0" w:line="240" w:lineRule="auto"/>
        <w:ind w:right="-20"/>
        <w:jc w:val="both"/>
        <w:rPr>
          <w:rFonts w:ascii="Times New Roman" w:eastAsia="PMingLiU" w:hAnsi="Times New Roman" w:cs="Times New Roman"/>
        </w:rPr>
      </w:pPr>
      <w:r>
        <w:rPr>
          <w:rFonts w:ascii="Times New Roman" w:eastAsia="PMingLiU" w:hAnsi="Times New Roman" w:cs="Times New Roman"/>
          <w:b/>
        </w:rPr>
        <w:t>Diarrhea:</w:t>
      </w:r>
      <w:r>
        <w:rPr>
          <w:rFonts w:ascii="Times New Roman" w:eastAsia="PMingLiU" w:hAnsi="Times New Roman" w:cs="Times New Roman"/>
        </w:rPr>
        <w:t xml:space="preserve"> Aggressively manage diarrhea occurring despite recommended prophylaxis with additional </w:t>
      </w:r>
      <w:proofErr w:type="spellStart"/>
      <w:r>
        <w:rPr>
          <w:rFonts w:ascii="Times New Roman" w:eastAsia="PMingLiU" w:hAnsi="Times New Roman" w:cs="Times New Roman"/>
        </w:rPr>
        <w:t>antidiarrheals</w:t>
      </w:r>
      <w:proofErr w:type="spellEnd"/>
      <w:r>
        <w:rPr>
          <w:rFonts w:ascii="Times New Roman" w:eastAsia="PMingLiU" w:hAnsi="Times New Roman" w:cs="Times New Roman"/>
        </w:rPr>
        <w:t xml:space="preserve">, fluids, and electrolytes as clinically indicated. Withhold NERLYNX in patients experiencing severe and/or persistent diarrhea. Permanently discontinue NERLYNX in patients experiencing Grade 4 diarrhea or Grade ≥ 2 </w:t>
      </w:r>
      <w:proofErr w:type="gramStart"/>
      <w:r>
        <w:rPr>
          <w:rFonts w:ascii="Times New Roman" w:eastAsia="PMingLiU" w:hAnsi="Times New Roman" w:cs="Times New Roman"/>
        </w:rPr>
        <w:t>diarrhea</w:t>
      </w:r>
      <w:proofErr w:type="gramEnd"/>
      <w:r>
        <w:rPr>
          <w:rFonts w:ascii="Times New Roman" w:eastAsia="PMingLiU" w:hAnsi="Times New Roman" w:cs="Times New Roman"/>
        </w:rPr>
        <w:t xml:space="preserve"> that occurs after maximal dose reduction.</w:t>
      </w:r>
      <w:r>
        <w:rPr>
          <w:rFonts w:ascii="Times New Roman" w:eastAsia="PMingLiU" w:hAnsi="Times New Roman" w:cs="Times New Roman"/>
        </w:rPr>
        <w:br/>
      </w:r>
    </w:p>
    <w:p w14:paraId="75E3043D" w14:textId="77777777" w:rsidR="00A16553" w:rsidRDefault="00FA2870" w:rsidP="00A16553">
      <w:pPr>
        <w:pStyle w:val="ListParagraph"/>
        <w:numPr>
          <w:ilvl w:val="0"/>
          <w:numId w:val="6"/>
        </w:numPr>
        <w:spacing w:after="0" w:line="240" w:lineRule="auto"/>
        <w:ind w:right="-20"/>
        <w:jc w:val="both"/>
        <w:rPr>
          <w:rFonts w:ascii="Times New Roman" w:eastAsia="PMingLiU" w:hAnsi="Times New Roman" w:cs="Times New Roman"/>
        </w:rPr>
      </w:pPr>
      <w:r>
        <w:rPr>
          <w:rFonts w:ascii="Times New Roman" w:eastAsia="PMingLiU" w:hAnsi="Times New Roman" w:cs="Times New Roman"/>
          <w:b/>
        </w:rPr>
        <w:t>Hepatotoxicity:</w:t>
      </w:r>
      <w:r>
        <w:rPr>
          <w:rFonts w:ascii="Times New Roman" w:eastAsia="PMingLiU" w:hAnsi="Times New Roman" w:cs="Times New Roman"/>
        </w:rPr>
        <w:t xml:space="preserve"> Monitor liver function tests monthly for the first 3 months of treatment, then every 3 months while on treatment and as clinically indicated. Withhold NERLYNX in patients experiencing Grade 3 liver abnormalities and permanently discontinue NERLYNX in patients experiencing Grade 4 liver abnormalities.</w:t>
      </w:r>
    </w:p>
    <w:p w14:paraId="15972EE5" w14:textId="167E94B9" w:rsidR="00F43444" w:rsidRPr="00A16553" w:rsidRDefault="00F43444" w:rsidP="00A16553">
      <w:pPr>
        <w:spacing w:after="0" w:line="240" w:lineRule="auto"/>
        <w:ind w:left="360" w:right="-20"/>
        <w:jc w:val="both"/>
        <w:rPr>
          <w:rFonts w:ascii="Times New Roman" w:eastAsia="PMingLiU" w:hAnsi="Times New Roman" w:cs="Times New Roman"/>
        </w:rPr>
      </w:pPr>
    </w:p>
    <w:p w14:paraId="2FD3A154" w14:textId="77777777" w:rsidR="00A16553" w:rsidRDefault="00FA2870" w:rsidP="00A16553">
      <w:pPr>
        <w:pStyle w:val="ListParagraph"/>
        <w:numPr>
          <w:ilvl w:val="0"/>
          <w:numId w:val="6"/>
        </w:numPr>
        <w:spacing w:after="0" w:line="240" w:lineRule="auto"/>
        <w:ind w:right="-20"/>
        <w:jc w:val="both"/>
        <w:rPr>
          <w:rFonts w:ascii="Times New Roman" w:eastAsia="PMingLiU" w:hAnsi="Times New Roman" w:cs="Times New Roman"/>
        </w:rPr>
      </w:pPr>
      <w:r>
        <w:rPr>
          <w:rFonts w:ascii="Times New Roman" w:eastAsia="PMingLiU" w:hAnsi="Times New Roman" w:cs="Times New Roman"/>
          <w:b/>
        </w:rPr>
        <w:t>Embryo-Fetal Toxicity:</w:t>
      </w:r>
      <w:r>
        <w:rPr>
          <w:rFonts w:ascii="Times New Roman" w:eastAsia="PMingLiU" w:hAnsi="Times New Roman" w:cs="Times New Roman"/>
        </w:rPr>
        <w:t xml:space="preserve"> NERLYNX can cause fetal harm. Advise patients of potential risk to a fetus and to use effective contraception.</w:t>
      </w:r>
    </w:p>
    <w:p w14:paraId="63EEC53B" w14:textId="0B52CB04" w:rsidR="00F43444" w:rsidRPr="00A16553" w:rsidRDefault="00F43444" w:rsidP="00A16553">
      <w:pPr>
        <w:spacing w:after="0" w:line="240" w:lineRule="auto"/>
        <w:ind w:right="-20"/>
        <w:jc w:val="both"/>
        <w:rPr>
          <w:rFonts w:ascii="Times New Roman" w:eastAsia="PMingLiU" w:hAnsi="Times New Roman" w:cs="Times New Roman"/>
        </w:rPr>
      </w:pPr>
    </w:p>
    <w:p w14:paraId="5A115FED" w14:textId="77777777" w:rsidR="00F43444" w:rsidRDefault="00FA2870" w:rsidP="00A16553">
      <w:pPr>
        <w:autoSpaceDE/>
        <w:autoSpaceDN/>
        <w:adjustRightInd/>
        <w:spacing w:after="0" w:line="240" w:lineRule="auto"/>
        <w:ind w:right="-20"/>
        <w:jc w:val="both"/>
        <w:rPr>
          <w:rFonts w:ascii="Times New Roman" w:eastAsia="PMingLiU" w:hAnsi="Times New Roman" w:cs="Times New Roman"/>
        </w:rPr>
      </w:pPr>
      <w:r>
        <w:rPr>
          <w:rFonts w:ascii="Times New Roman" w:eastAsia="PMingLiU" w:hAnsi="Times New Roman" w:cs="Times New Roman"/>
          <w:b/>
        </w:rPr>
        <w:t>ADVERSE REACTIONS:</w:t>
      </w:r>
      <w:r>
        <w:rPr>
          <w:rFonts w:ascii="Times New Roman" w:eastAsia="PMingLiU" w:hAnsi="Times New Roman" w:cs="Times New Roman"/>
        </w:rPr>
        <w:t xml:space="preserve"> The most common adverse reactions (≥ 5%) were diarrhea, nausea, abdominal pain, fatigue, vomiting, rash, stomatitis, decreased appetite, muscle spasms, dyspepsia, AST or ALT increase, nail disorder, dry skin, abdominal distention, epistaxis, weight decreased and urinary tract infection.</w:t>
      </w:r>
    </w:p>
    <w:p w14:paraId="6799DDF0" w14:textId="77777777" w:rsidR="00F43444" w:rsidRDefault="00F43444">
      <w:pPr>
        <w:autoSpaceDE/>
        <w:autoSpaceDN/>
        <w:adjustRightInd/>
        <w:spacing w:after="0" w:line="240" w:lineRule="auto"/>
        <w:ind w:right="-20"/>
        <w:rPr>
          <w:rFonts w:ascii="Times New Roman" w:eastAsia="PMingLiU" w:hAnsi="Times New Roman" w:cs="Times New Roman"/>
        </w:rPr>
      </w:pPr>
    </w:p>
    <w:p w14:paraId="14E42E09" w14:textId="77777777" w:rsidR="00F43444" w:rsidRDefault="00FA2870">
      <w:pPr>
        <w:autoSpaceDE/>
        <w:autoSpaceDN/>
        <w:adjustRightInd/>
        <w:spacing w:after="60" w:line="240" w:lineRule="auto"/>
        <w:ind w:right="-20"/>
        <w:rPr>
          <w:rFonts w:ascii="Times New Roman" w:eastAsia="PMingLiU" w:hAnsi="Times New Roman" w:cs="Times New Roman"/>
          <w:b/>
        </w:rPr>
      </w:pPr>
      <w:r>
        <w:rPr>
          <w:rFonts w:ascii="Times New Roman" w:eastAsia="PMingLiU" w:hAnsi="Times New Roman" w:cs="Times New Roman"/>
          <w:b/>
        </w:rPr>
        <w:t xml:space="preserve">To report SUSPECTED ADVERSE REACTIONS, contact Puma Biotechnology, Inc. at 1-844-NERLYNX (1-844-637-5969) and www.NERLYNX.com or FDA at 1-800-FDA-1088 or </w:t>
      </w:r>
      <w:r>
        <w:rPr>
          <w:rFonts w:ascii="Times New Roman" w:eastAsia="PMingLiU" w:hAnsi="Times New Roman" w:cs="Times New Roman"/>
          <w:b/>
          <w:i/>
        </w:rPr>
        <w:t>www.fda.gov/</w:t>
      </w:r>
      <w:proofErr w:type="gramStart"/>
      <w:r>
        <w:rPr>
          <w:rFonts w:ascii="Times New Roman" w:eastAsia="PMingLiU" w:hAnsi="Times New Roman" w:cs="Times New Roman"/>
          <w:b/>
          <w:i/>
        </w:rPr>
        <w:t>medwatch</w:t>
      </w:r>
      <w:r>
        <w:rPr>
          <w:rFonts w:ascii="Times New Roman" w:eastAsia="PMingLiU" w:hAnsi="Times New Roman" w:cs="Times New Roman"/>
          <w:b/>
        </w:rPr>
        <w:t xml:space="preserve"> .</w:t>
      </w:r>
      <w:proofErr w:type="gramEnd"/>
    </w:p>
    <w:p w14:paraId="10C6CDB0" w14:textId="77777777" w:rsidR="00F43444" w:rsidRDefault="00F43444">
      <w:pPr>
        <w:autoSpaceDE/>
        <w:autoSpaceDN/>
        <w:adjustRightInd/>
        <w:spacing w:after="0" w:line="240" w:lineRule="auto"/>
        <w:ind w:right="-20"/>
        <w:rPr>
          <w:rFonts w:ascii="Times New Roman" w:eastAsia="PMingLiU" w:hAnsi="Times New Roman" w:cs="Times New Roman"/>
        </w:rPr>
      </w:pPr>
    </w:p>
    <w:p w14:paraId="35CD982E"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DRUG INTERACTIONS:</w:t>
      </w:r>
    </w:p>
    <w:p w14:paraId="2B53DBE1" w14:textId="77777777" w:rsidR="00F43444" w:rsidRDefault="00F43444">
      <w:pPr>
        <w:autoSpaceDE/>
        <w:autoSpaceDN/>
        <w:adjustRightInd/>
        <w:spacing w:after="0" w:line="240" w:lineRule="auto"/>
        <w:ind w:right="-20"/>
        <w:rPr>
          <w:rFonts w:ascii="Times New Roman" w:eastAsia="PMingLiU" w:hAnsi="Times New Roman" w:cs="Times New Roman"/>
        </w:rPr>
      </w:pPr>
    </w:p>
    <w:p w14:paraId="4B26FEEF" w14:textId="77777777" w:rsidR="00F43444" w:rsidRDefault="00FA2870">
      <w:pPr>
        <w:pStyle w:val="ListParagraph"/>
        <w:numPr>
          <w:ilvl w:val="0"/>
          <w:numId w:val="7"/>
        </w:numPr>
        <w:spacing w:after="60" w:line="240" w:lineRule="auto"/>
        <w:ind w:right="-20"/>
        <w:rPr>
          <w:rFonts w:ascii="Times New Roman" w:eastAsia="PMingLiU" w:hAnsi="Times New Roman" w:cs="Times New Roman"/>
        </w:rPr>
      </w:pPr>
      <w:r>
        <w:rPr>
          <w:rFonts w:ascii="Times New Roman" w:eastAsia="PMingLiU" w:hAnsi="Times New Roman" w:cs="Times New Roman"/>
        </w:rPr>
        <w:t>Gastric acid reducing agents: Avoid concomitant use with proton pump inhibitors (PPI) and H2-receptor antagonists. Separate NERLYNX by 3 hours after antacid dosing.</w:t>
      </w:r>
    </w:p>
    <w:p w14:paraId="320EF982" w14:textId="77777777" w:rsidR="00F43444" w:rsidRDefault="00FA2870">
      <w:pPr>
        <w:pStyle w:val="ListParagraph"/>
        <w:numPr>
          <w:ilvl w:val="0"/>
          <w:numId w:val="7"/>
        </w:numPr>
        <w:spacing w:after="60" w:line="240" w:lineRule="auto"/>
        <w:ind w:right="-20"/>
        <w:rPr>
          <w:rFonts w:ascii="Times New Roman" w:eastAsia="PMingLiU" w:hAnsi="Times New Roman" w:cs="Times New Roman"/>
        </w:rPr>
      </w:pPr>
      <w:r>
        <w:rPr>
          <w:rFonts w:ascii="Times New Roman" w:eastAsia="PMingLiU" w:hAnsi="Times New Roman" w:cs="Times New Roman"/>
        </w:rPr>
        <w:t>Strong or moderate CYP3A4 inhibitors: Avoid concomitant use.</w:t>
      </w:r>
    </w:p>
    <w:p w14:paraId="0386AC2C" w14:textId="77777777" w:rsidR="00F43444" w:rsidRDefault="00FA2870">
      <w:pPr>
        <w:pStyle w:val="ListParagraph"/>
        <w:numPr>
          <w:ilvl w:val="0"/>
          <w:numId w:val="7"/>
        </w:numPr>
        <w:spacing w:after="60" w:line="240" w:lineRule="auto"/>
        <w:ind w:right="-20"/>
        <w:rPr>
          <w:rFonts w:ascii="Times New Roman" w:eastAsia="PMingLiU" w:hAnsi="Times New Roman" w:cs="Times New Roman"/>
        </w:rPr>
      </w:pPr>
      <w:r>
        <w:rPr>
          <w:rFonts w:ascii="Times New Roman" w:eastAsia="PMingLiU" w:hAnsi="Times New Roman" w:cs="Times New Roman"/>
        </w:rPr>
        <w:t>Strong or moderate CYP3A4 inducers: Avoid concomitant use.</w:t>
      </w:r>
    </w:p>
    <w:p w14:paraId="6087D372" w14:textId="77777777" w:rsidR="00F43444" w:rsidRDefault="00FA2870">
      <w:pPr>
        <w:pStyle w:val="ListParagraph"/>
        <w:numPr>
          <w:ilvl w:val="0"/>
          <w:numId w:val="7"/>
        </w:numPr>
        <w:spacing w:after="60" w:line="240" w:lineRule="auto"/>
        <w:ind w:right="-20"/>
        <w:rPr>
          <w:rFonts w:ascii="Times New Roman" w:eastAsia="PMingLiU" w:hAnsi="Times New Roman" w:cs="Times New Roman"/>
        </w:rPr>
      </w:pPr>
      <w:r>
        <w:rPr>
          <w:rFonts w:ascii="Times New Roman" w:eastAsia="PMingLiU" w:hAnsi="Times New Roman" w:cs="Times New Roman"/>
        </w:rPr>
        <w:t>P-glycoprotein (P-</w:t>
      </w:r>
      <w:proofErr w:type="spellStart"/>
      <w:r>
        <w:rPr>
          <w:rFonts w:ascii="Times New Roman" w:eastAsia="PMingLiU" w:hAnsi="Times New Roman" w:cs="Times New Roman"/>
        </w:rPr>
        <w:t>gp</w:t>
      </w:r>
      <w:proofErr w:type="spellEnd"/>
      <w:r>
        <w:rPr>
          <w:rFonts w:ascii="Times New Roman" w:eastAsia="PMingLiU" w:hAnsi="Times New Roman" w:cs="Times New Roman"/>
        </w:rPr>
        <w:t>) substrates: Monitor for adverse reactions of narrow therapeutic agents that are P-</w:t>
      </w:r>
      <w:proofErr w:type="spellStart"/>
      <w:r>
        <w:rPr>
          <w:rFonts w:ascii="Times New Roman" w:eastAsia="PMingLiU" w:hAnsi="Times New Roman" w:cs="Times New Roman"/>
        </w:rPr>
        <w:t>gp</w:t>
      </w:r>
      <w:proofErr w:type="spellEnd"/>
      <w:r>
        <w:rPr>
          <w:rFonts w:ascii="Times New Roman" w:eastAsia="PMingLiU" w:hAnsi="Times New Roman" w:cs="Times New Roman"/>
        </w:rPr>
        <w:t xml:space="preserve"> substrates when used concomitantly with NERLYNX.</w:t>
      </w:r>
    </w:p>
    <w:p w14:paraId="55C7B6D9"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rPr>
        <w:br/>
      </w:r>
      <w:r>
        <w:rPr>
          <w:rFonts w:ascii="Times New Roman" w:eastAsia="PMingLiU" w:hAnsi="Times New Roman" w:cs="Times New Roman"/>
          <w:b/>
        </w:rPr>
        <w:lastRenderedPageBreak/>
        <w:t>USE IN SPECIFIC POPULATIONS:</w:t>
      </w:r>
    </w:p>
    <w:p w14:paraId="69BE7507" w14:textId="77777777" w:rsidR="00F43444" w:rsidRDefault="00F43444">
      <w:pPr>
        <w:autoSpaceDE/>
        <w:autoSpaceDN/>
        <w:adjustRightInd/>
        <w:spacing w:after="0" w:line="240" w:lineRule="auto"/>
        <w:ind w:right="-20"/>
        <w:rPr>
          <w:rFonts w:ascii="Times New Roman" w:eastAsia="PMingLiU" w:hAnsi="Times New Roman" w:cs="Times New Roman"/>
          <w:b/>
        </w:rPr>
      </w:pPr>
    </w:p>
    <w:p w14:paraId="4A9C7159" w14:textId="77777777" w:rsidR="00F43444" w:rsidRDefault="00FA2870">
      <w:pPr>
        <w:pStyle w:val="ListParagraph"/>
        <w:numPr>
          <w:ilvl w:val="0"/>
          <w:numId w:val="8"/>
        </w:numPr>
        <w:spacing w:after="60" w:line="240" w:lineRule="auto"/>
        <w:ind w:right="-20"/>
        <w:rPr>
          <w:rFonts w:ascii="Times New Roman" w:eastAsia="PMingLiU" w:hAnsi="Times New Roman" w:cs="Times New Roman"/>
        </w:rPr>
      </w:pPr>
      <w:r>
        <w:rPr>
          <w:rFonts w:ascii="Times New Roman" w:eastAsia="PMingLiU" w:hAnsi="Times New Roman" w:cs="Times New Roman"/>
        </w:rPr>
        <w:t>Lactation: Advise women not to breastfeed.</w:t>
      </w:r>
    </w:p>
    <w:p w14:paraId="6EB53B12"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 xml:space="preserve">Please see </w:t>
      </w:r>
      <w:hyperlink r:id="rId9" w:history="1">
        <w:r>
          <w:rPr>
            <w:rStyle w:val="Hyperlink"/>
            <w:rFonts w:ascii="Times New Roman" w:eastAsia="PMingLiU" w:hAnsi="Times New Roman" w:cs="Times New Roman"/>
            <w:b/>
          </w:rPr>
          <w:t>Full Prescribing Information</w:t>
        </w:r>
      </w:hyperlink>
      <w:r>
        <w:rPr>
          <w:rFonts w:ascii="Times New Roman" w:eastAsia="PMingLiU" w:hAnsi="Times New Roman" w:cs="Times New Roman"/>
          <w:b/>
        </w:rPr>
        <w:t xml:space="preserve"> for additional safety information.</w:t>
      </w:r>
    </w:p>
    <w:p w14:paraId="39A81647" w14:textId="77777777" w:rsidR="00F43444" w:rsidRDefault="00F43444">
      <w:pPr>
        <w:autoSpaceDE/>
        <w:autoSpaceDN/>
        <w:adjustRightInd/>
        <w:spacing w:after="60" w:line="240" w:lineRule="auto"/>
        <w:ind w:right="-20"/>
        <w:rPr>
          <w:rFonts w:ascii="Times New Roman" w:eastAsia="PMingLiU" w:hAnsi="Times New Roman" w:cs="Times New Roman"/>
        </w:rPr>
      </w:pPr>
    </w:p>
    <w:p w14:paraId="006B7BA3" w14:textId="77777777" w:rsidR="00F43444" w:rsidRDefault="00FA2870" w:rsidP="00A16553">
      <w:pPr>
        <w:autoSpaceDE/>
        <w:autoSpaceDN/>
        <w:adjustRightInd/>
        <w:spacing w:after="0" w:line="240" w:lineRule="auto"/>
        <w:ind w:right="-20"/>
        <w:jc w:val="both"/>
        <w:rPr>
          <w:rFonts w:ascii="Times New Roman" w:eastAsia="PMingLiU" w:hAnsi="Times New Roman" w:cs="Times New Roman"/>
        </w:rPr>
      </w:pPr>
      <w:r>
        <w:rPr>
          <w:rFonts w:ascii="Times New Roman" w:eastAsia="PMingLiU" w:hAnsi="Times New Roman" w:cs="Times New Roman"/>
        </w:rPr>
        <w:t>The recommended dose of NERLYNX is 240 mg (six 40 mg tablets) given orally once daily with food, continuously for one year. Antidiarrheal prophylaxis should be initiated with the first dose of NERLYNX and continued during the first 2 months (56 days) of treatment and as needed thereafter.</w:t>
      </w:r>
    </w:p>
    <w:p w14:paraId="3672C786" w14:textId="77777777" w:rsidR="00F43444" w:rsidRDefault="00F43444" w:rsidP="00A16553">
      <w:pPr>
        <w:autoSpaceDE/>
        <w:autoSpaceDN/>
        <w:adjustRightInd/>
        <w:spacing w:after="0" w:line="240" w:lineRule="auto"/>
        <w:ind w:right="-20"/>
        <w:jc w:val="both"/>
        <w:rPr>
          <w:rFonts w:ascii="Times New Roman" w:eastAsia="PMingLiU" w:hAnsi="Times New Roman" w:cs="Times New Roman"/>
        </w:rPr>
      </w:pPr>
    </w:p>
    <w:p w14:paraId="6C5D3911" w14:textId="77777777" w:rsidR="00F43444" w:rsidRDefault="00FA2870" w:rsidP="00A16553">
      <w:pPr>
        <w:autoSpaceDE/>
        <w:autoSpaceDN/>
        <w:adjustRightInd/>
        <w:spacing w:after="0" w:line="240" w:lineRule="auto"/>
        <w:ind w:right="-20"/>
        <w:jc w:val="both"/>
        <w:rPr>
          <w:rFonts w:ascii="Times New Roman" w:eastAsia="PMingLiU" w:hAnsi="Times New Roman" w:cs="Times New Roman"/>
        </w:rPr>
      </w:pPr>
      <w:r>
        <w:rPr>
          <w:rFonts w:ascii="Times New Roman" w:eastAsia="PMingLiU" w:hAnsi="Times New Roman" w:cs="Times New Roman"/>
        </w:rPr>
        <w:t>To help ensure patients have access to NERLYNX, Puma has implemented the Puma Patient Lynx support program to assist patients and healthcare providers with reimbursement support and referrals to resources that can help with financial assistance. More information on the Puma Patient Lynx program can be found at www.NERLYNX.com or 1-855-816-5421.</w:t>
      </w:r>
    </w:p>
    <w:p w14:paraId="4F63413A" w14:textId="77777777" w:rsidR="00F43444" w:rsidRDefault="00F43444">
      <w:pPr>
        <w:autoSpaceDE/>
        <w:autoSpaceDN/>
        <w:adjustRightInd/>
        <w:spacing w:after="0" w:line="240" w:lineRule="auto"/>
        <w:ind w:right="-20"/>
        <w:rPr>
          <w:rFonts w:ascii="Times New Roman" w:eastAsia="PMingLiU" w:hAnsi="Times New Roman" w:cs="Times New Roman"/>
        </w:rPr>
      </w:pPr>
    </w:p>
    <w:p w14:paraId="2DCA383F" w14:textId="77777777" w:rsidR="00F43444" w:rsidRDefault="00FA2870">
      <w:pPr>
        <w:autoSpaceDE/>
        <w:autoSpaceDN/>
        <w:adjustRightInd/>
        <w:spacing w:after="0" w:line="240" w:lineRule="auto"/>
        <w:ind w:right="-20"/>
        <w:rPr>
          <w:rFonts w:ascii="Times New Roman" w:eastAsia="PMingLiU" w:hAnsi="Times New Roman" w:cs="Times New Roman"/>
        </w:rPr>
      </w:pPr>
      <w:r>
        <w:rPr>
          <w:rFonts w:ascii="Times New Roman" w:eastAsia="PMingLiU" w:hAnsi="Times New Roman" w:cs="Times New Roman"/>
        </w:rPr>
        <w:t>Further information about Puma Biotechnology can be found at www.pumabiotechnology.com.</w:t>
      </w:r>
    </w:p>
    <w:p w14:paraId="41DC8B20" w14:textId="77777777" w:rsidR="00F43444" w:rsidRDefault="00F43444">
      <w:pPr>
        <w:autoSpaceDE/>
        <w:autoSpaceDN/>
        <w:adjustRightInd/>
        <w:spacing w:after="0" w:line="240" w:lineRule="auto"/>
        <w:ind w:right="-20"/>
        <w:rPr>
          <w:rFonts w:ascii="Times New Roman" w:eastAsia="PMingLiU" w:hAnsi="Times New Roman" w:cs="Times New Roman"/>
        </w:rPr>
      </w:pPr>
    </w:p>
    <w:p w14:paraId="44D213FB"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Forward-Looking Statements</w:t>
      </w:r>
    </w:p>
    <w:p w14:paraId="4A55575B" w14:textId="77777777" w:rsidR="00F43444" w:rsidRDefault="00F43444">
      <w:pPr>
        <w:autoSpaceDE/>
        <w:autoSpaceDN/>
        <w:adjustRightInd/>
        <w:spacing w:after="0" w:line="240" w:lineRule="auto"/>
        <w:ind w:right="-20"/>
        <w:rPr>
          <w:rFonts w:ascii="Times New Roman" w:eastAsia="PMingLiU" w:hAnsi="Times New Roman" w:cs="Times New Roman"/>
        </w:rPr>
      </w:pPr>
    </w:p>
    <w:p w14:paraId="4705095D" w14:textId="77777777" w:rsidR="00F43444" w:rsidRDefault="00FA2870">
      <w:pPr>
        <w:autoSpaceDE/>
        <w:autoSpaceDN/>
        <w:adjustRightInd/>
        <w:spacing w:after="0" w:line="240" w:lineRule="auto"/>
        <w:jc w:val="both"/>
        <w:rPr>
          <w:rFonts w:ascii="Times New Roman" w:eastAsia="Times New Roman" w:hAnsi="Times New Roman" w:cs="Times New Roman"/>
          <w:lang w:val="en-GB"/>
        </w:rPr>
      </w:pPr>
      <w:r>
        <w:rPr>
          <w:rFonts w:ascii="Times New Roman" w:eastAsia="Times New Roman" w:hAnsi="Times New Roman" w:cs="Times New Roman"/>
          <w:lang w:val="en-GB"/>
        </w:rPr>
        <w:t xml:space="preserve">This press release contains forward-looking statements, including statements regarding the benefits of NERLYNX and neratinib, the progress and expected timing of the Company’s clinical trials, the announcement of data relative to those trials and the timing for anticipated regulatory approvals. All forward-looking statements involve risks and uncertainties that could </w:t>
      </w:r>
      <w:proofErr w:type="gramStart"/>
      <w:r>
        <w:rPr>
          <w:rFonts w:ascii="Times New Roman" w:eastAsia="Times New Roman" w:hAnsi="Times New Roman" w:cs="Times New Roman"/>
          <w:lang w:val="en-GB"/>
        </w:rPr>
        <w:t>cause</w:t>
      </w:r>
      <w:proofErr w:type="gramEnd"/>
      <w:r>
        <w:rPr>
          <w:rFonts w:ascii="Times New Roman" w:eastAsia="Times New Roman" w:hAnsi="Times New Roman" w:cs="Times New Roman"/>
          <w:lang w:val="en-GB"/>
        </w:rPr>
        <w:t xml:space="preserve"> the Company’s actual results to differ materially from the anticipated results and expectations expressed in these forward-looking statements. These statements are based on current expectations, forecasts and assumptions, and actual outcomes and results could differ materially from these statements due to a number of factors, which include, but are not limited to, the risk factors disclosed in the periodic and current reports filed by the Company with the Securities and Exchange Commission from time to time, including the Company’s Quarterly Report on Form 10-Q for the quarter ended June 30, 2018.  Readers are cautioned not to place undue reliance on these forward-looking statements, which speak only as of the date hereof. The Company assumes no obligation to update these forward-looking statements, except as required by law.</w:t>
      </w:r>
    </w:p>
    <w:p w14:paraId="2744FD51" w14:textId="77777777" w:rsidR="00F43444" w:rsidRDefault="00F43444">
      <w:pPr>
        <w:autoSpaceDE/>
        <w:autoSpaceDN/>
        <w:adjustRightInd/>
        <w:spacing w:after="0" w:line="240" w:lineRule="auto"/>
        <w:jc w:val="both"/>
        <w:rPr>
          <w:rFonts w:ascii="Times New Roman" w:eastAsia="Times New Roman" w:hAnsi="Times New Roman" w:cs="Times New Roman"/>
        </w:rPr>
      </w:pPr>
    </w:p>
    <w:p w14:paraId="1CB6DFAC" w14:textId="77777777" w:rsidR="00F43444" w:rsidRDefault="00FA2870">
      <w:pPr>
        <w:autoSpaceDE/>
        <w:autoSpaceDN/>
        <w:adjustRightInd/>
        <w:spacing w:after="0" w:line="240" w:lineRule="auto"/>
        <w:ind w:right="-20"/>
        <w:rPr>
          <w:rFonts w:ascii="Times New Roman" w:eastAsia="PMingLiU" w:hAnsi="Times New Roman" w:cs="Times New Roman"/>
          <w:b/>
        </w:rPr>
      </w:pPr>
      <w:r>
        <w:rPr>
          <w:rFonts w:ascii="Times New Roman" w:eastAsia="PMingLiU" w:hAnsi="Times New Roman" w:cs="Times New Roman"/>
          <w:b/>
        </w:rPr>
        <w:t>Contact</w:t>
      </w:r>
    </w:p>
    <w:p w14:paraId="2EAF9BC2" w14:textId="77777777" w:rsidR="00F43444" w:rsidRDefault="00F43444">
      <w:pPr>
        <w:autoSpaceDE/>
        <w:autoSpaceDN/>
        <w:adjustRightInd/>
        <w:spacing w:after="0" w:line="240" w:lineRule="auto"/>
        <w:ind w:right="-20"/>
        <w:rPr>
          <w:rFonts w:ascii="Times New Roman" w:eastAsia="PMingLiU" w:hAnsi="Times New Roman" w:cs="Times New Roman"/>
          <w:b/>
        </w:rPr>
      </w:pPr>
    </w:p>
    <w:p w14:paraId="21F725E3"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Puma Biotechnology, Inc.</w:t>
      </w:r>
    </w:p>
    <w:p w14:paraId="21754916"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Alan H. Auerbach or Mariann Ohanesian, +1 424 248 6500</w:t>
      </w:r>
    </w:p>
    <w:p w14:paraId="2B819FBE"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 xml:space="preserve">info@pumabiotechnology.com </w:t>
      </w:r>
    </w:p>
    <w:p w14:paraId="26DA1231"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 xml:space="preserve">ir@pumabiotechnology.com </w:t>
      </w:r>
    </w:p>
    <w:p w14:paraId="16F8B74C" w14:textId="77777777" w:rsidR="00F43444" w:rsidRDefault="00FA2870">
      <w:pPr>
        <w:autoSpaceDE/>
        <w:autoSpaceDN/>
        <w:adjustRightInd/>
        <w:spacing w:after="60" w:line="240" w:lineRule="auto"/>
        <w:ind w:right="-20"/>
        <w:rPr>
          <w:rFonts w:ascii="Times New Roman" w:eastAsia="PMingLiU" w:hAnsi="Times New Roman" w:cs="Times New Roman"/>
        </w:rPr>
      </w:pPr>
      <w:proofErr w:type="gramStart"/>
      <w:r>
        <w:rPr>
          <w:rFonts w:ascii="Times New Roman" w:eastAsia="PMingLiU" w:hAnsi="Times New Roman" w:cs="Times New Roman"/>
        </w:rPr>
        <w:t>or</w:t>
      </w:r>
      <w:proofErr w:type="gramEnd"/>
    </w:p>
    <w:p w14:paraId="5E9C9BC0"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Russo Partners</w:t>
      </w:r>
    </w:p>
    <w:p w14:paraId="390FF6FB"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David Schull or Amiad Finkelthal, +1 212 845 4200</w:t>
      </w:r>
    </w:p>
    <w:p w14:paraId="3482DA0B" w14:textId="77777777" w:rsidR="00F43444" w:rsidRDefault="00FA2870">
      <w:pPr>
        <w:autoSpaceDE/>
        <w:autoSpaceDN/>
        <w:adjustRightInd/>
        <w:spacing w:after="60" w:line="240" w:lineRule="auto"/>
        <w:ind w:right="-20"/>
        <w:rPr>
          <w:rFonts w:ascii="Times New Roman" w:eastAsia="PMingLiU" w:hAnsi="Times New Roman" w:cs="Times New Roman"/>
        </w:rPr>
      </w:pPr>
      <w:r>
        <w:rPr>
          <w:rFonts w:ascii="Times New Roman" w:eastAsia="PMingLiU" w:hAnsi="Times New Roman" w:cs="Times New Roman"/>
        </w:rPr>
        <w:t xml:space="preserve">david.schull@russopartnersllc.com </w:t>
      </w:r>
    </w:p>
    <w:p w14:paraId="1AF3B030" w14:textId="77777777" w:rsidR="00F43444" w:rsidRDefault="00FA2870">
      <w:pPr>
        <w:autoSpaceDE/>
        <w:autoSpaceDN/>
        <w:adjustRightInd/>
        <w:spacing w:after="60" w:line="240" w:lineRule="auto"/>
        <w:ind w:right="-20"/>
        <w:rPr>
          <w:rFonts w:ascii="Times New Roman" w:eastAsia="Times New Roman" w:hAnsi="Times New Roman" w:cs="Times New Roman"/>
          <w:color w:val="0000FF"/>
          <w:u w:val="single" w:color="0000FF"/>
        </w:rPr>
      </w:pPr>
      <w:r>
        <w:rPr>
          <w:rFonts w:ascii="Times New Roman" w:eastAsia="PMingLiU" w:hAnsi="Times New Roman" w:cs="Times New Roman"/>
        </w:rPr>
        <w:t>amiad.finkelthal@russopartnersllc.com</w:t>
      </w:r>
    </w:p>
    <w:p w14:paraId="11BAF343" w14:textId="77777777" w:rsidR="00F43444" w:rsidRDefault="00F43444">
      <w:pPr>
        <w:autoSpaceDE/>
        <w:autoSpaceDN/>
        <w:adjustRightInd/>
        <w:spacing w:after="0" w:line="240" w:lineRule="auto"/>
        <w:ind w:left="100" w:right="-20"/>
        <w:jc w:val="center"/>
        <w:rPr>
          <w:rFonts w:ascii="Times New Roman" w:eastAsia="Times New Roman" w:hAnsi="Times New Roman" w:cs="Times New Roman"/>
          <w:b/>
        </w:rPr>
      </w:pPr>
    </w:p>
    <w:p w14:paraId="4C13124D" w14:textId="77777777" w:rsidR="00F43444" w:rsidRDefault="00FA2870">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 # # # #</w:t>
      </w:r>
    </w:p>
    <w:p w14:paraId="12B20052" w14:textId="77777777" w:rsidR="00F43444" w:rsidRDefault="00F43444">
      <w:pPr>
        <w:autoSpaceDE/>
        <w:autoSpaceDN/>
        <w:adjustRightInd/>
        <w:spacing w:after="0" w:line="240" w:lineRule="auto"/>
        <w:ind w:left="100" w:right="-20"/>
        <w:jc w:val="center"/>
        <w:rPr>
          <w:rFonts w:ascii="Times New Roman" w:eastAsia="Times New Roman" w:hAnsi="Times New Roman" w:cs="Times New Roman"/>
          <w:b/>
        </w:rPr>
      </w:pPr>
    </w:p>
    <w:p w14:paraId="51C3164A" w14:textId="77777777" w:rsidR="00F43444" w:rsidRDefault="00FA2870">
      <w:pPr>
        <w:autoSpaceDE/>
        <w:autoSpaceDN/>
        <w:adjustRightInd/>
        <w:spacing w:after="0" w:line="240" w:lineRule="auto"/>
        <w:ind w:left="100" w:right="-20"/>
        <w:jc w:val="center"/>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b/>
          <w:i/>
        </w:rPr>
        <w:t>Financial Tables Follow</w:t>
      </w:r>
      <w:r>
        <w:rPr>
          <w:rFonts w:ascii="Times New Roman" w:eastAsia="Times New Roman" w:hAnsi="Times New Roman" w:cs="Times New Roman"/>
          <w:b/>
        </w:rPr>
        <w:t>)</w:t>
      </w:r>
    </w:p>
    <w:p w14:paraId="443B002E" w14:textId="77777777" w:rsidR="00F43444" w:rsidRDefault="00F43444">
      <w:pPr>
        <w:autoSpaceDE/>
        <w:autoSpaceDN/>
        <w:adjustRightInd/>
        <w:spacing w:after="0" w:line="240" w:lineRule="auto"/>
        <w:ind w:left="100" w:right="-20"/>
        <w:jc w:val="center"/>
        <w:rPr>
          <w:rFonts w:ascii="Times New Roman" w:eastAsia="Times New Roman" w:hAnsi="Times New Roman" w:cs="Times New Roman"/>
          <w:b/>
        </w:rPr>
      </w:pPr>
    </w:p>
    <w:p w14:paraId="2682C2BF" w14:textId="77777777" w:rsidR="00F43444" w:rsidRDefault="0000506E">
      <w:pPr>
        <w:autoSpaceDE/>
        <w:autoSpaceDN/>
        <w:adjustRightInd/>
        <w:spacing w:after="0" w:line="240" w:lineRule="auto"/>
        <w:ind w:left="100" w:right="-20"/>
        <w:rPr>
          <w:rFonts w:ascii="Times New Roman" w:eastAsia="Times New Roman" w:hAnsi="Times New Roman" w:cs="Times New Roman"/>
          <w:b/>
        </w:rPr>
      </w:pPr>
      <w:r w:rsidRPr="0000506E">
        <w:rPr>
          <w:noProof/>
        </w:rPr>
        <w:lastRenderedPageBreak/>
        <w:drawing>
          <wp:inline distT="0" distB="0" distL="0" distR="0" wp14:anchorId="492CD57B" wp14:editId="5806AC4B">
            <wp:extent cx="5943600" cy="7153511"/>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7153511"/>
                    </a:xfrm>
                    <a:prstGeom prst="rect">
                      <a:avLst/>
                    </a:prstGeom>
                    <a:noFill/>
                    <a:ln>
                      <a:noFill/>
                    </a:ln>
                  </pic:spPr>
                </pic:pic>
              </a:graphicData>
            </a:graphic>
          </wp:inline>
        </w:drawing>
      </w:r>
    </w:p>
    <w:p w14:paraId="0175F1A8" w14:textId="77777777" w:rsidR="00F43444" w:rsidRDefault="00F43444">
      <w:pPr>
        <w:autoSpaceDE/>
        <w:autoSpaceDN/>
        <w:adjustRightInd/>
        <w:spacing w:after="0" w:line="240" w:lineRule="auto"/>
        <w:ind w:left="100" w:right="-20"/>
        <w:jc w:val="center"/>
        <w:rPr>
          <w:rFonts w:ascii="Times New Roman" w:eastAsia="Times New Roman" w:hAnsi="Times New Roman" w:cs="Times New Roman"/>
          <w:b/>
        </w:rPr>
      </w:pPr>
    </w:p>
    <w:p w14:paraId="24C46C76" w14:textId="77777777" w:rsidR="00F43444" w:rsidRDefault="00F43444">
      <w:pPr>
        <w:autoSpaceDE/>
        <w:autoSpaceDN/>
        <w:adjustRightInd/>
        <w:spacing w:after="0" w:line="240" w:lineRule="auto"/>
        <w:ind w:left="100" w:right="-20"/>
        <w:jc w:val="center"/>
        <w:rPr>
          <w:rFonts w:ascii="Times New Roman" w:eastAsia="Times New Roman" w:hAnsi="Times New Roman" w:cs="Times New Roman"/>
          <w:b/>
        </w:rPr>
      </w:pPr>
    </w:p>
    <w:p w14:paraId="1E81A7B6"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6F0BC2F9"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3143C873"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106DBAEC"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5CA8ACB9"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4DF72FDD"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1EF41864" w14:textId="77777777" w:rsidR="00F43444" w:rsidRDefault="00F43444">
      <w:pPr>
        <w:autoSpaceDE/>
        <w:autoSpaceDN/>
        <w:adjustRightInd/>
        <w:spacing w:after="0" w:line="240" w:lineRule="auto"/>
        <w:ind w:right="-20"/>
        <w:rPr>
          <w:rFonts w:ascii="Times New Roman" w:eastAsia="Times New Roman" w:hAnsi="Times New Roman" w:cs="Times New Roman"/>
          <w:b/>
        </w:rPr>
      </w:pPr>
    </w:p>
    <w:p w14:paraId="15586569" w14:textId="77777777" w:rsidR="00F43444" w:rsidRDefault="00F43444">
      <w:pPr>
        <w:autoSpaceDE/>
        <w:autoSpaceDN/>
        <w:adjustRightInd/>
        <w:spacing w:after="0" w:line="240" w:lineRule="auto"/>
        <w:ind w:right="-20"/>
        <w:rPr>
          <w:rFonts w:ascii="Times New Roman" w:eastAsia="Times New Roman" w:hAnsi="Times New Roman" w:cs="Times New Roman"/>
          <w:b/>
        </w:rPr>
        <w:sectPr w:rsidR="00F43444">
          <w:headerReference w:type="even" r:id="rId11"/>
          <w:headerReference w:type="default" r:id="rId12"/>
          <w:footerReference w:type="even" r:id="rId13"/>
          <w:footerReference w:type="default" r:id="rId14"/>
          <w:headerReference w:type="first" r:id="rId15"/>
          <w:footerReference w:type="first" r:id="rId16"/>
          <w:pgSz w:w="12240" w:h="15840"/>
          <w:pgMar w:top="1152" w:right="1440" w:bottom="1008" w:left="1440" w:header="720" w:footer="720" w:gutter="0"/>
          <w:cols w:space="720"/>
          <w:noEndnote/>
          <w:docGrid w:linePitch="299"/>
        </w:sectPr>
      </w:pPr>
    </w:p>
    <w:p w14:paraId="7B371FA5" w14:textId="77777777" w:rsidR="00F43444" w:rsidRDefault="00FA2870">
      <w:pPr>
        <w:autoSpaceDE/>
        <w:autoSpaceDN/>
        <w:adjustRightInd/>
        <w:spacing w:after="0" w:line="240" w:lineRule="auto"/>
        <w:ind w:right="-20"/>
        <w:rPr>
          <w:rFonts w:ascii="Times New Roman" w:eastAsia="Times New Roman" w:hAnsi="Times New Roman" w:cs="Times New Roman"/>
          <w:b/>
        </w:rPr>
      </w:pPr>
      <w:r>
        <w:rPr>
          <w:rFonts w:ascii="Times New Roman" w:eastAsia="Times New Roman" w:hAnsi="Times New Roman" w:cs="Times New Roman"/>
          <w:b/>
        </w:rPr>
        <w:lastRenderedPageBreak/>
        <w:t>Non-GAAP Financial Measures</w:t>
      </w:r>
    </w:p>
    <w:p w14:paraId="0CC5E71E" w14:textId="77777777" w:rsidR="00F43444" w:rsidRDefault="00F43444">
      <w:pPr>
        <w:widowControl/>
        <w:autoSpaceDE/>
        <w:autoSpaceDN/>
        <w:adjustRightInd/>
        <w:spacing w:after="0" w:line="240" w:lineRule="auto"/>
        <w:rPr>
          <w:rFonts w:ascii="Times New Roman" w:eastAsia="Times New Roman" w:hAnsi="Times New Roman" w:cs="Times New Roman"/>
          <w:b/>
        </w:rPr>
      </w:pPr>
    </w:p>
    <w:p w14:paraId="1F402C36" w14:textId="77777777" w:rsidR="00F43444" w:rsidRDefault="00FA2870">
      <w:pPr>
        <w:widowControl/>
        <w:spacing w:after="0" w:line="240" w:lineRule="auto"/>
        <w:jc w:val="both"/>
        <w:rPr>
          <w:rFonts w:ascii="Times New Roman" w:eastAsia="Times New Roman" w:hAnsi="Times New Roman" w:cs="Times New Roman"/>
        </w:rPr>
      </w:pPr>
      <w:r>
        <w:rPr>
          <w:rFonts w:ascii="Times New Roman" w:hAnsi="Times New Roman" w:cs="Times New Roman"/>
        </w:rPr>
        <w:t xml:space="preserve">In addition to operating results as calculated in accordance with GAAP, the Company uses certain non-GAAP financial measures when planning, monitoring, and evaluating operational performance. The following table presents the Company’s net loss and net loss per share calculated in accordance with GAAP and as adjusted to remove the impact of employee stock-based compensation. For the three and six months ended June 30, 2018, stock-based compensation represented approximately </w:t>
      </w:r>
      <w:r w:rsidRPr="00630ADA">
        <w:rPr>
          <w:rFonts w:ascii="Times New Roman" w:hAnsi="Times New Roman" w:cs="Times New Roman"/>
        </w:rPr>
        <w:t>26.5% and 28.5</w:t>
      </w:r>
      <w:r>
        <w:rPr>
          <w:rFonts w:ascii="Times New Roman" w:hAnsi="Times New Roman" w:cs="Times New Roman"/>
        </w:rPr>
        <w:t>%</w:t>
      </w:r>
      <w:r w:rsidR="008514F4">
        <w:rPr>
          <w:rFonts w:ascii="Times New Roman" w:hAnsi="Times New Roman" w:cs="Times New Roman"/>
        </w:rPr>
        <w:t xml:space="preserve"> </w:t>
      </w:r>
      <w:r>
        <w:rPr>
          <w:rFonts w:ascii="Times New Roman" w:hAnsi="Times New Roman" w:cs="Times New Roman"/>
        </w:rPr>
        <w:t>of operating expense</w:t>
      </w:r>
      <w:r w:rsidR="008514F4">
        <w:rPr>
          <w:rFonts w:ascii="Times New Roman" w:hAnsi="Times New Roman" w:cs="Times New Roman"/>
        </w:rPr>
        <w:t xml:space="preserve"> (which does not include cost of sales)</w:t>
      </w:r>
      <w:r>
        <w:rPr>
          <w:rFonts w:ascii="Times New Roman" w:hAnsi="Times New Roman" w:cs="Times New Roman"/>
        </w:rPr>
        <w:t>, respectively. Although net loss is important to measure financial performance, the Company currently places an emphasis on cash burn and, more specifically, cash used in operations. Stock-based compensation appears in GAAP net loss but is removed from net loss to arrive at cash used in operations on the statement of cash flows. Due to its noncash nature, the Company believes these non-GAAP measures enhance understanding of financial performance, are more indicative of operational performance and facilitate a better comparison among fiscal periods. These non-GAAP financial measures are not, and should not be viewed as, substitutes for GAAP reporting measures.</w:t>
      </w:r>
      <w:r>
        <w:rPr>
          <w:rFonts w:ascii="Times New Roman" w:eastAsia="Times New Roman" w:hAnsi="Times New Roman" w:cs="Times New Roman"/>
        </w:rPr>
        <w:t xml:space="preserve"> </w:t>
      </w:r>
    </w:p>
    <w:p w14:paraId="7BECE3F0" w14:textId="77777777" w:rsidR="00F43444" w:rsidRDefault="00F43444">
      <w:pPr>
        <w:autoSpaceDE/>
        <w:autoSpaceDN/>
        <w:adjustRightInd/>
        <w:spacing w:after="0" w:line="240" w:lineRule="auto"/>
        <w:ind w:right="-20"/>
        <w:jc w:val="both"/>
        <w:rPr>
          <w:rFonts w:ascii="Times New Roman" w:eastAsia="Times New Roman" w:hAnsi="Times New Roman" w:cs="Times New Roman"/>
          <w:b/>
        </w:rPr>
      </w:pPr>
    </w:p>
    <w:p w14:paraId="4C86D6B3" w14:textId="3276BA25" w:rsidR="00F43444" w:rsidRDefault="0000506E" w:rsidP="00D67C92">
      <w:pPr>
        <w:autoSpaceDE/>
        <w:autoSpaceDN/>
        <w:adjustRightInd/>
        <w:spacing w:after="0" w:line="240" w:lineRule="auto"/>
        <w:ind w:right="-20"/>
        <w:jc w:val="center"/>
        <w:rPr>
          <w:rFonts w:ascii="Times New Roman" w:eastAsia="Times New Roman" w:hAnsi="Times New Roman" w:cs="Times New Roman"/>
          <w:b/>
        </w:rPr>
      </w:pPr>
      <w:r w:rsidRPr="0000506E">
        <w:rPr>
          <w:noProof/>
        </w:rPr>
        <w:drawing>
          <wp:inline distT="0" distB="0" distL="0" distR="0" wp14:anchorId="130CA692" wp14:editId="675EE30A">
            <wp:extent cx="4898677" cy="615625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98677" cy="6156251"/>
                    </a:xfrm>
                    <a:prstGeom prst="rect">
                      <a:avLst/>
                    </a:prstGeom>
                    <a:noFill/>
                    <a:ln>
                      <a:noFill/>
                    </a:ln>
                  </pic:spPr>
                </pic:pic>
              </a:graphicData>
            </a:graphic>
          </wp:inline>
        </w:drawing>
      </w:r>
      <w:r w:rsidR="00FA2870">
        <w:rPr>
          <w:rFonts w:ascii="Times New Roman" w:eastAsia="Times New Roman" w:hAnsi="Times New Roman" w:cs="Times New Roman"/>
          <w:b/>
        </w:rPr>
        <w:t xml:space="preserve">      </w:t>
      </w:r>
    </w:p>
    <w:sectPr w:rsidR="00F43444">
      <w:pgSz w:w="12240" w:h="15840"/>
      <w:pgMar w:top="1152" w:right="1440" w:bottom="576" w:left="1440" w:header="720" w:footer="72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4F8BF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D826E" w14:textId="77777777" w:rsidR="001E08F8" w:rsidRDefault="001E08F8">
      <w:pPr>
        <w:spacing w:after="0" w:line="240" w:lineRule="auto"/>
      </w:pPr>
      <w:r>
        <w:separator/>
      </w:r>
    </w:p>
  </w:endnote>
  <w:endnote w:type="continuationSeparator" w:id="0">
    <w:p w14:paraId="512573E8" w14:textId="77777777" w:rsidR="001E08F8" w:rsidRDefault="001E0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E9ED8" w14:textId="77777777" w:rsidR="00B848EA" w:rsidRDefault="00B848EA">
    <w:pPr>
      <w:pStyle w:val="Footer"/>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BC8D7" w14:textId="3DA47750" w:rsidR="00B848EA" w:rsidRPr="00B848EA" w:rsidRDefault="00B848EA" w:rsidP="00B848EA">
    <w:pPr>
      <w:pStyle w:val="Footer"/>
      <w:rPr>
        <w:noProof/>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6AE0" w14:textId="77777777" w:rsidR="00B848EA" w:rsidRDefault="00B848EA">
    <w:pPr>
      <w:pStyle w:val="Footer"/>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D43C0C" w14:textId="77777777" w:rsidR="001E08F8" w:rsidRDefault="001E08F8">
      <w:pPr>
        <w:spacing w:after="0" w:line="240" w:lineRule="auto"/>
      </w:pPr>
      <w:r>
        <w:separator/>
      </w:r>
    </w:p>
  </w:footnote>
  <w:footnote w:type="continuationSeparator" w:id="0">
    <w:p w14:paraId="184D67F6" w14:textId="77777777" w:rsidR="001E08F8" w:rsidRDefault="001E08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2B18" w14:textId="77777777" w:rsidR="00B848EA" w:rsidRDefault="00B848EA">
    <w:pPr>
      <w:pStyle w:val="Header"/>
      <w:rPr>
        <w:noProo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24A6C" w14:textId="77777777" w:rsidR="00B848EA" w:rsidRDefault="00B848EA">
    <w:pPr>
      <w:pStyle w:val="Header"/>
      <w:rPr>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8B65B" w14:textId="77777777" w:rsidR="00B848EA" w:rsidRDefault="00B848EA">
    <w:pPr>
      <w:pStyle w:val="Head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20A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FF4F03"/>
    <w:multiLevelType w:val="hybridMultilevel"/>
    <w:tmpl w:val="70C6EC76"/>
    <w:lvl w:ilvl="0" w:tplc="1110F25E">
      <w:start w:val="1"/>
      <w:numFmt w:val="bullet"/>
      <w:lvlText w:val=""/>
      <w:lvlJc w:val="left"/>
      <w:pPr>
        <w:ind w:left="720" w:hanging="360"/>
      </w:pPr>
      <w:rPr>
        <w:rFonts w:ascii="Symbol" w:hAnsi="Symbol" w:hint="default"/>
      </w:rPr>
    </w:lvl>
    <w:lvl w:ilvl="1" w:tplc="9A72B876" w:tentative="1">
      <w:start w:val="1"/>
      <w:numFmt w:val="bullet"/>
      <w:lvlText w:val="o"/>
      <w:lvlJc w:val="left"/>
      <w:pPr>
        <w:ind w:left="1440" w:hanging="360"/>
      </w:pPr>
      <w:rPr>
        <w:rFonts w:ascii="Courier New" w:hAnsi="Courier New" w:cs="Courier New" w:hint="default"/>
      </w:rPr>
    </w:lvl>
    <w:lvl w:ilvl="2" w:tplc="2CC63324" w:tentative="1">
      <w:start w:val="1"/>
      <w:numFmt w:val="bullet"/>
      <w:lvlText w:val=""/>
      <w:lvlJc w:val="left"/>
      <w:pPr>
        <w:ind w:left="2160" w:hanging="360"/>
      </w:pPr>
      <w:rPr>
        <w:rFonts w:ascii="Wingdings" w:hAnsi="Wingdings" w:hint="default"/>
      </w:rPr>
    </w:lvl>
    <w:lvl w:ilvl="3" w:tplc="508A0D52" w:tentative="1">
      <w:start w:val="1"/>
      <w:numFmt w:val="bullet"/>
      <w:lvlText w:val=""/>
      <w:lvlJc w:val="left"/>
      <w:pPr>
        <w:ind w:left="2880" w:hanging="360"/>
      </w:pPr>
      <w:rPr>
        <w:rFonts w:ascii="Symbol" w:hAnsi="Symbol" w:hint="default"/>
      </w:rPr>
    </w:lvl>
    <w:lvl w:ilvl="4" w:tplc="5510E142" w:tentative="1">
      <w:start w:val="1"/>
      <w:numFmt w:val="bullet"/>
      <w:lvlText w:val="o"/>
      <w:lvlJc w:val="left"/>
      <w:pPr>
        <w:ind w:left="3600" w:hanging="360"/>
      </w:pPr>
      <w:rPr>
        <w:rFonts w:ascii="Courier New" w:hAnsi="Courier New" w:cs="Courier New" w:hint="default"/>
      </w:rPr>
    </w:lvl>
    <w:lvl w:ilvl="5" w:tplc="4D54ED6A" w:tentative="1">
      <w:start w:val="1"/>
      <w:numFmt w:val="bullet"/>
      <w:lvlText w:val=""/>
      <w:lvlJc w:val="left"/>
      <w:pPr>
        <w:ind w:left="4320" w:hanging="360"/>
      </w:pPr>
      <w:rPr>
        <w:rFonts w:ascii="Wingdings" w:hAnsi="Wingdings" w:hint="default"/>
      </w:rPr>
    </w:lvl>
    <w:lvl w:ilvl="6" w:tplc="C5781484" w:tentative="1">
      <w:start w:val="1"/>
      <w:numFmt w:val="bullet"/>
      <w:lvlText w:val=""/>
      <w:lvlJc w:val="left"/>
      <w:pPr>
        <w:ind w:left="5040" w:hanging="360"/>
      </w:pPr>
      <w:rPr>
        <w:rFonts w:ascii="Symbol" w:hAnsi="Symbol" w:hint="default"/>
      </w:rPr>
    </w:lvl>
    <w:lvl w:ilvl="7" w:tplc="522830A0" w:tentative="1">
      <w:start w:val="1"/>
      <w:numFmt w:val="bullet"/>
      <w:lvlText w:val="o"/>
      <w:lvlJc w:val="left"/>
      <w:pPr>
        <w:ind w:left="5760" w:hanging="360"/>
      </w:pPr>
      <w:rPr>
        <w:rFonts w:ascii="Courier New" w:hAnsi="Courier New" w:cs="Courier New" w:hint="default"/>
      </w:rPr>
    </w:lvl>
    <w:lvl w:ilvl="8" w:tplc="CD3E6954" w:tentative="1">
      <w:start w:val="1"/>
      <w:numFmt w:val="bullet"/>
      <w:lvlText w:val=""/>
      <w:lvlJc w:val="left"/>
      <w:pPr>
        <w:ind w:left="6480" w:hanging="360"/>
      </w:pPr>
      <w:rPr>
        <w:rFonts w:ascii="Wingdings" w:hAnsi="Wingdings" w:hint="default"/>
      </w:rPr>
    </w:lvl>
  </w:abstractNum>
  <w:abstractNum w:abstractNumId="2">
    <w:nsid w:val="1293533B"/>
    <w:multiLevelType w:val="hybridMultilevel"/>
    <w:tmpl w:val="75A8467E"/>
    <w:lvl w:ilvl="0" w:tplc="F094287E">
      <w:start w:val="1"/>
      <w:numFmt w:val="bullet"/>
      <w:lvlText w:val="•"/>
      <w:lvlJc w:val="left"/>
      <w:pPr>
        <w:tabs>
          <w:tab w:val="left" w:pos="720"/>
        </w:tabs>
        <w:ind w:left="720" w:hanging="360"/>
      </w:pPr>
      <w:rPr>
        <w:rFonts w:ascii="Arial" w:hAnsi="Arial"/>
        <w:strike w:val="0"/>
        <w:dstrike w:val="0"/>
      </w:rPr>
    </w:lvl>
    <w:lvl w:ilvl="1" w:tplc="BEC2B4DE">
      <w:start w:val="1"/>
      <w:numFmt w:val="bullet"/>
      <w:lvlText w:val="•"/>
      <w:lvlJc w:val="left"/>
      <w:pPr>
        <w:tabs>
          <w:tab w:val="left" w:pos="1440"/>
        </w:tabs>
        <w:ind w:left="1440" w:hanging="360"/>
      </w:pPr>
      <w:rPr>
        <w:rFonts w:ascii="Arial" w:hAnsi="Arial"/>
        <w:strike w:val="0"/>
        <w:dstrike w:val="0"/>
      </w:rPr>
    </w:lvl>
    <w:lvl w:ilvl="2" w:tplc="6156AA3C">
      <w:start w:val="1"/>
      <w:numFmt w:val="bullet"/>
      <w:lvlText w:val="•"/>
      <w:lvlJc w:val="left"/>
      <w:pPr>
        <w:tabs>
          <w:tab w:val="left" w:pos="2160"/>
        </w:tabs>
        <w:ind w:left="2160" w:hanging="360"/>
      </w:pPr>
      <w:rPr>
        <w:rFonts w:ascii="Arial" w:hAnsi="Arial"/>
        <w:strike w:val="0"/>
        <w:dstrike w:val="0"/>
      </w:rPr>
    </w:lvl>
    <w:lvl w:ilvl="3" w:tplc="2CAC0D24">
      <w:start w:val="1"/>
      <w:numFmt w:val="bullet"/>
      <w:lvlText w:val="•"/>
      <w:lvlJc w:val="left"/>
      <w:pPr>
        <w:tabs>
          <w:tab w:val="left" w:pos="2880"/>
        </w:tabs>
        <w:ind w:left="2880" w:hanging="360"/>
      </w:pPr>
      <w:rPr>
        <w:rFonts w:ascii="Arial" w:hAnsi="Arial"/>
        <w:strike w:val="0"/>
        <w:dstrike w:val="0"/>
      </w:rPr>
    </w:lvl>
    <w:lvl w:ilvl="4" w:tplc="9CD8A130">
      <w:start w:val="1"/>
      <w:numFmt w:val="bullet"/>
      <w:lvlText w:val="•"/>
      <w:lvlJc w:val="left"/>
      <w:pPr>
        <w:tabs>
          <w:tab w:val="left" w:pos="3600"/>
        </w:tabs>
        <w:ind w:left="3600" w:hanging="360"/>
      </w:pPr>
      <w:rPr>
        <w:rFonts w:ascii="Arial" w:hAnsi="Arial"/>
        <w:strike w:val="0"/>
        <w:dstrike w:val="0"/>
      </w:rPr>
    </w:lvl>
    <w:lvl w:ilvl="5" w:tplc="544EAAD6">
      <w:start w:val="1"/>
      <w:numFmt w:val="bullet"/>
      <w:lvlText w:val="•"/>
      <w:lvlJc w:val="left"/>
      <w:pPr>
        <w:tabs>
          <w:tab w:val="left" w:pos="4320"/>
        </w:tabs>
        <w:ind w:left="4320" w:hanging="360"/>
      </w:pPr>
      <w:rPr>
        <w:rFonts w:ascii="Arial" w:hAnsi="Arial"/>
        <w:strike w:val="0"/>
        <w:dstrike w:val="0"/>
      </w:rPr>
    </w:lvl>
    <w:lvl w:ilvl="6" w:tplc="6F80F6A0">
      <w:start w:val="1"/>
      <w:numFmt w:val="bullet"/>
      <w:lvlText w:val="•"/>
      <w:lvlJc w:val="left"/>
      <w:pPr>
        <w:tabs>
          <w:tab w:val="left" w:pos="5040"/>
        </w:tabs>
        <w:ind w:left="5040" w:hanging="360"/>
      </w:pPr>
      <w:rPr>
        <w:rFonts w:ascii="Arial" w:hAnsi="Arial"/>
        <w:strike w:val="0"/>
        <w:dstrike w:val="0"/>
      </w:rPr>
    </w:lvl>
    <w:lvl w:ilvl="7" w:tplc="04ACBAEE">
      <w:start w:val="1"/>
      <w:numFmt w:val="bullet"/>
      <w:lvlText w:val="•"/>
      <w:lvlJc w:val="left"/>
      <w:pPr>
        <w:tabs>
          <w:tab w:val="left" w:pos="5760"/>
        </w:tabs>
        <w:ind w:left="5760" w:hanging="360"/>
      </w:pPr>
      <w:rPr>
        <w:rFonts w:ascii="Arial" w:hAnsi="Arial"/>
        <w:strike w:val="0"/>
        <w:dstrike w:val="0"/>
      </w:rPr>
    </w:lvl>
    <w:lvl w:ilvl="8" w:tplc="B5BEABF8">
      <w:start w:val="1"/>
      <w:numFmt w:val="bullet"/>
      <w:lvlText w:val="•"/>
      <w:lvlJc w:val="left"/>
      <w:pPr>
        <w:tabs>
          <w:tab w:val="left" w:pos="6480"/>
        </w:tabs>
        <w:ind w:left="6480" w:hanging="360"/>
      </w:pPr>
      <w:rPr>
        <w:rFonts w:ascii="Arial" w:hAnsi="Arial"/>
        <w:strike w:val="0"/>
        <w:dstrike w:val="0"/>
      </w:rPr>
    </w:lvl>
  </w:abstractNum>
  <w:abstractNum w:abstractNumId="3">
    <w:nsid w:val="36B463BD"/>
    <w:multiLevelType w:val="hybridMultilevel"/>
    <w:tmpl w:val="6F3269A2"/>
    <w:lvl w:ilvl="0" w:tplc="8018A40C">
      <w:start w:val="1"/>
      <w:numFmt w:val="bullet"/>
      <w:lvlText w:val=""/>
      <w:lvlJc w:val="left"/>
      <w:pPr>
        <w:ind w:left="720" w:hanging="360"/>
      </w:pPr>
      <w:rPr>
        <w:rFonts w:ascii="Symbol" w:hAnsi="Symbol" w:hint="default"/>
      </w:rPr>
    </w:lvl>
    <w:lvl w:ilvl="1" w:tplc="EEF03254" w:tentative="1">
      <w:start w:val="1"/>
      <w:numFmt w:val="lowerLetter"/>
      <w:lvlText w:val="%2."/>
      <w:lvlJc w:val="left"/>
      <w:pPr>
        <w:ind w:left="1440" w:hanging="360"/>
      </w:pPr>
    </w:lvl>
    <w:lvl w:ilvl="2" w:tplc="30023B98" w:tentative="1">
      <w:start w:val="1"/>
      <w:numFmt w:val="lowerRoman"/>
      <w:lvlText w:val="%3."/>
      <w:lvlJc w:val="right"/>
      <w:pPr>
        <w:ind w:left="2160" w:hanging="180"/>
      </w:pPr>
    </w:lvl>
    <w:lvl w:ilvl="3" w:tplc="AACA8376" w:tentative="1">
      <w:start w:val="1"/>
      <w:numFmt w:val="decimal"/>
      <w:lvlText w:val="%4."/>
      <w:lvlJc w:val="left"/>
      <w:pPr>
        <w:ind w:left="2880" w:hanging="360"/>
      </w:pPr>
    </w:lvl>
    <w:lvl w:ilvl="4" w:tplc="B3FAFFB2" w:tentative="1">
      <w:start w:val="1"/>
      <w:numFmt w:val="lowerLetter"/>
      <w:lvlText w:val="%5."/>
      <w:lvlJc w:val="left"/>
      <w:pPr>
        <w:ind w:left="3600" w:hanging="360"/>
      </w:pPr>
    </w:lvl>
    <w:lvl w:ilvl="5" w:tplc="0BDAF6C4" w:tentative="1">
      <w:start w:val="1"/>
      <w:numFmt w:val="lowerRoman"/>
      <w:lvlText w:val="%6."/>
      <w:lvlJc w:val="right"/>
      <w:pPr>
        <w:ind w:left="4320" w:hanging="180"/>
      </w:pPr>
    </w:lvl>
    <w:lvl w:ilvl="6" w:tplc="47B2D444" w:tentative="1">
      <w:start w:val="1"/>
      <w:numFmt w:val="decimal"/>
      <w:lvlText w:val="%7."/>
      <w:lvlJc w:val="left"/>
      <w:pPr>
        <w:ind w:left="5040" w:hanging="360"/>
      </w:pPr>
    </w:lvl>
    <w:lvl w:ilvl="7" w:tplc="B16857C4" w:tentative="1">
      <w:start w:val="1"/>
      <w:numFmt w:val="lowerLetter"/>
      <w:lvlText w:val="%8."/>
      <w:lvlJc w:val="left"/>
      <w:pPr>
        <w:ind w:left="5760" w:hanging="360"/>
      </w:pPr>
    </w:lvl>
    <w:lvl w:ilvl="8" w:tplc="56F08E62" w:tentative="1">
      <w:start w:val="1"/>
      <w:numFmt w:val="lowerRoman"/>
      <w:lvlText w:val="%9."/>
      <w:lvlJc w:val="right"/>
      <w:pPr>
        <w:ind w:left="6480" w:hanging="180"/>
      </w:pPr>
    </w:lvl>
  </w:abstractNum>
  <w:abstractNum w:abstractNumId="4">
    <w:nsid w:val="3AF61DFE"/>
    <w:multiLevelType w:val="hybridMultilevel"/>
    <w:tmpl w:val="B44693CC"/>
    <w:lvl w:ilvl="0" w:tplc="78A6030C">
      <w:start w:val="1"/>
      <w:numFmt w:val="bullet"/>
      <w:lvlText w:val=""/>
      <w:lvlJc w:val="left"/>
      <w:pPr>
        <w:ind w:left="720" w:hanging="360"/>
      </w:pPr>
      <w:rPr>
        <w:rFonts w:ascii="Symbol" w:hAnsi="Symbol" w:hint="default"/>
      </w:rPr>
    </w:lvl>
    <w:lvl w:ilvl="1" w:tplc="1C7AD958" w:tentative="1">
      <w:start w:val="1"/>
      <w:numFmt w:val="bullet"/>
      <w:lvlText w:val="o"/>
      <w:lvlJc w:val="left"/>
      <w:pPr>
        <w:ind w:left="1440" w:hanging="360"/>
      </w:pPr>
      <w:rPr>
        <w:rFonts w:ascii="Courier New" w:hAnsi="Courier New" w:cs="Courier New" w:hint="default"/>
      </w:rPr>
    </w:lvl>
    <w:lvl w:ilvl="2" w:tplc="AA28498E" w:tentative="1">
      <w:start w:val="1"/>
      <w:numFmt w:val="bullet"/>
      <w:lvlText w:val=""/>
      <w:lvlJc w:val="left"/>
      <w:pPr>
        <w:ind w:left="2160" w:hanging="360"/>
      </w:pPr>
      <w:rPr>
        <w:rFonts w:ascii="Wingdings" w:hAnsi="Wingdings" w:hint="default"/>
      </w:rPr>
    </w:lvl>
    <w:lvl w:ilvl="3" w:tplc="4FFE2BF8" w:tentative="1">
      <w:start w:val="1"/>
      <w:numFmt w:val="bullet"/>
      <w:lvlText w:val=""/>
      <w:lvlJc w:val="left"/>
      <w:pPr>
        <w:ind w:left="2880" w:hanging="360"/>
      </w:pPr>
      <w:rPr>
        <w:rFonts w:ascii="Symbol" w:hAnsi="Symbol" w:hint="default"/>
      </w:rPr>
    </w:lvl>
    <w:lvl w:ilvl="4" w:tplc="4266B6F0" w:tentative="1">
      <w:start w:val="1"/>
      <w:numFmt w:val="bullet"/>
      <w:lvlText w:val="o"/>
      <w:lvlJc w:val="left"/>
      <w:pPr>
        <w:ind w:left="3600" w:hanging="360"/>
      </w:pPr>
      <w:rPr>
        <w:rFonts w:ascii="Courier New" w:hAnsi="Courier New" w:cs="Courier New" w:hint="default"/>
      </w:rPr>
    </w:lvl>
    <w:lvl w:ilvl="5" w:tplc="9E9EC1BC" w:tentative="1">
      <w:start w:val="1"/>
      <w:numFmt w:val="bullet"/>
      <w:lvlText w:val=""/>
      <w:lvlJc w:val="left"/>
      <w:pPr>
        <w:ind w:left="4320" w:hanging="360"/>
      </w:pPr>
      <w:rPr>
        <w:rFonts w:ascii="Wingdings" w:hAnsi="Wingdings" w:hint="default"/>
      </w:rPr>
    </w:lvl>
    <w:lvl w:ilvl="6" w:tplc="D14029DE" w:tentative="1">
      <w:start w:val="1"/>
      <w:numFmt w:val="bullet"/>
      <w:lvlText w:val=""/>
      <w:lvlJc w:val="left"/>
      <w:pPr>
        <w:ind w:left="5040" w:hanging="360"/>
      </w:pPr>
      <w:rPr>
        <w:rFonts w:ascii="Symbol" w:hAnsi="Symbol" w:hint="default"/>
      </w:rPr>
    </w:lvl>
    <w:lvl w:ilvl="7" w:tplc="711CB7A4" w:tentative="1">
      <w:start w:val="1"/>
      <w:numFmt w:val="bullet"/>
      <w:lvlText w:val="o"/>
      <w:lvlJc w:val="left"/>
      <w:pPr>
        <w:ind w:left="5760" w:hanging="360"/>
      </w:pPr>
      <w:rPr>
        <w:rFonts w:ascii="Courier New" w:hAnsi="Courier New" w:cs="Courier New" w:hint="default"/>
      </w:rPr>
    </w:lvl>
    <w:lvl w:ilvl="8" w:tplc="97C83CA2" w:tentative="1">
      <w:start w:val="1"/>
      <w:numFmt w:val="bullet"/>
      <w:lvlText w:val=""/>
      <w:lvlJc w:val="left"/>
      <w:pPr>
        <w:ind w:left="6480" w:hanging="360"/>
      </w:pPr>
      <w:rPr>
        <w:rFonts w:ascii="Wingdings" w:hAnsi="Wingdings" w:hint="default"/>
      </w:rPr>
    </w:lvl>
  </w:abstractNum>
  <w:abstractNum w:abstractNumId="5">
    <w:nsid w:val="418670C9"/>
    <w:multiLevelType w:val="hybridMultilevel"/>
    <w:tmpl w:val="E4A66DF0"/>
    <w:lvl w:ilvl="0" w:tplc="8FBC8FE4">
      <w:start w:val="1"/>
      <w:numFmt w:val="bullet"/>
      <w:lvlText w:val=""/>
      <w:lvlJc w:val="left"/>
      <w:pPr>
        <w:ind w:left="720" w:hanging="360"/>
      </w:pPr>
      <w:rPr>
        <w:rFonts w:ascii="Symbol" w:hAnsi="Symbol" w:hint="default"/>
      </w:rPr>
    </w:lvl>
    <w:lvl w:ilvl="1" w:tplc="835A719E">
      <w:start w:val="1"/>
      <w:numFmt w:val="bullet"/>
      <w:lvlText w:val="o"/>
      <w:lvlJc w:val="left"/>
      <w:pPr>
        <w:ind w:left="1440" w:hanging="360"/>
      </w:pPr>
      <w:rPr>
        <w:rFonts w:ascii="Courier New" w:hAnsi="Courier New" w:cs="Courier New" w:hint="default"/>
      </w:rPr>
    </w:lvl>
    <w:lvl w:ilvl="2" w:tplc="4116511A">
      <w:start w:val="1"/>
      <w:numFmt w:val="bullet"/>
      <w:lvlText w:val=""/>
      <w:lvlJc w:val="left"/>
      <w:pPr>
        <w:ind w:left="2160" w:hanging="360"/>
      </w:pPr>
      <w:rPr>
        <w:rFonts w:ascii="Wingdings" w:hAnsi="Wingdings" w:hint="default"/>
      </w:rPr>
    </w:lvl>
    <w:lvl w:ilvl="3" w:tplc="BFDE3F5C">
      <w:start w:val="1"/>
      <w:numFmt w:val="bullet"/>
      <w:lvlText w:val=""/>
      <w:lvlJc w:val="left"/>
      <w:pPr>
        <w:ind w:left="2880" w:hanging="360"/>
      </w:pPr>
      <w:rPr>
        <w:rFonts w:ascii="Symbol" w:hAnsi="Symbol" w:hint="default"/>
      </w:rPr>
    </w:lvl>
    <w:lvl w:ilvl="4" w:tplc="F72CEDCA">
      <w:start w:val="1"/>
      <w:numFmt w:val="bullet"/>
      <w:lvlText w:val="o"/>
      <w:lvlJc w:val="left"/>
      <w:pPr>
        <w:ind w:left="3600" w:hanging="360"/>
      </w:pPr>
      <w:rPr>
        <w:rFonts w:ascii="Courier New" w:hAnsi="Courier New" w:cs="Courier New" w:hint="default"/>
      </w:rPr>
    </w:lvl>
    <w:lvl w:ilvl="5" w:tplc="2788FA2A">
      <w:start w:val="1"/>
      <w:numFmt w:val="bullet"/>
      <w:lvlText w:val=""/>
      <w:lvlJc w:val="left"/>
      <w:pPr>
        <w:ind w:left="4320" w:hanging="360"/>
      </w:pPr>
      <w:rPr>
        <w:rFonts w:ascii="Wingdings" w:hAnsi="Wingdings" w:hint="default"/>
      </w:rPr>
    </w:lvl>
    <w:lvl w:ilvl="6" w:tplc="D4067E78">
      <w:start w:val="1"/>
      <w:numFmt w:val="bullet"/>
      <w:lvlText w:val=""/>
      <w:lvlJc w:val="left"/>
      <w:pPr>
        <w:ind w:left="5040" w:hanging="360"/>
      </w:pPr>
      <w:rPr>
        <w:rFonts w:ascii="Symbol" w:hAnsi="Symbol" w:hint="default"/>
      </w:rPr>
    </w:lvl>
    <w:lvl w:ilvl="7" w:tplc="53EAC94E">
      <w:start w:val="1"/>
      <w:numFmt w:val="bullet"/>
      <w:lvlText w:val="o"/>
      <w:lvlJc w:val="left"/>
      <w:pPr>
        <w:ind w:left="5760" w:hanging="360"/>
      </w:pPr>
      <w:rPr>
        <w:rFonts w:ascii="Courier New" w:hAnsi="Courier New" w:cs="Courier New" w:hint="default"/>
      </w:rPr>
    </w:lvl>
    <w:lvl w:ilvl="8" w:tplc="27DC8F82">
      <w:start w:val="1"/>
      <w:numFmt w:val="bullet"/>
      <w:lvlText w:val=""/>
      <w:lvlJc w:val="left"/>
      <w:pPr>
        <w:ind w:left="6480" w:hanging="360"/>
      </w:pPr>
      <w:rPr>
        <w:rFonts w:ascii="Wingdings" w:hAnsi="Wingdings" w:hint="default"/>
      </w:rPr>
    </w:lvl>
  </w:abstractNum>
  <w:abstractNum w:abstractNumId="6">
    <w:nsid w:val="5428553F"/>
    <w:multiLevelType w:val="hybridMultilevel"/>
    <w:tmpl w:val="7A68846A"/>
    <w:lvl w:ilvl="0" w:tplc="3AA888B6">
      <w:start w:val="1"/>
      <w:numFmt w:val="bullet"/>
      <w:lvlText w:val=""/>
      <w:lvlJc w:val="left"/>
      <w:pPr>
        <w:ind w:left="720" w:hanging="360"/>
      </w:pPr>
      <w:rPr>
        <w:rFonts w:ascii="Symbol" w:hAnsi="Symbol" w:hint="default"/>
      </w:rPr>
    </w:lvl>
    <w:lvl w:ilvl="1" w:tplc="58067720" w:tentative="1">
      <w:start w:val="1"/>
      <w:numFmt w:val="bullet"/>
      <w:lvlText w:val="o"/>
      <w:lvlJc w:val="left"/>
      <w:pPr>
        <w:ind w:left="1440" w:hanging="360"/>
      </w:pPr>
      <w:rPr>
        <w:rFonts w:ascii="Courier New" w:hAnsi="Courier New" w:cs="Courier New" w:hint="default"/>
      </w:rPr>
    </w:lvl>
    <w:lvl w:ilvl="2" w:tplc="7340B84A" w:tentative="1">
      <w:start w:val="1"/>
      <w:numFmt w:val="bullet"/>
      <w:lvlText w:val=""/>
      <w:lvlJc w:val="left"/>
      <w:pPr>
        <w:ind w:left="2160" w:hanging="360"/>
      </w:pPr>
      <w:rPr>
        <w:rFonts w:ascii="Wingdings" w:hAnsi="Wingdings" w:hint="default"/>
      </w:rPr>
    </w:lvl>
    <w:lvl w:ilvl="3" w:tplc="9E6C38DA" w:tentative="1">
      <w:start w:val="1"/>
      <w:numFmt w:val="bullet"/>
      <w:lvlText w:val=""/>
      <w:lvlJc w:val="left"/>
      <w:pPr>
        <w:ind w:left="2880" w:hanging="360"/>
      </w:pPr>
      <w:rPr>
        <w:rFonts w:ascii="Symbol" w:hAnsi="Symbol" w:hint="default"/>
      </w:rPr>
    </w:lvl>
    <w:lvl w:ilvl="4" w:tplc="61CE7DFC" w:tentative="1">
      <w:start w:val="1"/>
      <w:numFmt w:val="bullet"/>
      <w:lvlText w:val="o"/>
      <w:lvlJc w:val="left"/>
      <w:pPr>
        <w:ind w:left="3600" w:hanging="360"/>
      </w:pPr>
      <w:rPr>
        <w:rFonts w:ascii="Courier New" w:hAnsi="Courier New" w:cs="Courier New" w:hint="default"/>
      </w:rPr>
    </w:lvl>
    <w:lvl w:ilvl="5" w:tplc="C92674B8" w:tentative="1">
      <w:start w:val="1"/>
      <w:numFmt w:val="bullet"/>
      <w:lvlText w:val=""/>
      <w:lvlJc w:val="left"/>
      <w:pPr>
        <w:ind w:left="4320" w:hanging="360"/>
      </w:pPr>
      <w:rPr>
        <w:rFonts w:ascii="Wingdings" w:hAnsi="Wingdings" w:hint="default"/>
      </w:rPr>
    </w:lvl>
    <w:lvl w:ilvl="6" w:tplc="4CC487F8" w:tentative="1">
      <w:start w:val="1"/>
      <w:numFmt w:val="bullet"/>
      <w:lvlText w:val=""/>
      <w:lvlJc w:val="left"/>
      <w:pPr>
        <w:ind w:left="5040" w:hanging="360"/>
      </w:pPr>
      <w:rPr>
        <w:rFonts w:ascii="Symbol" w:hAnsi="Symbol" w:hint="default"/>
      </w:rPr>
    </w:lvl>
    <w:lvl w:ilvl="7" w:tplc="AAEC9622" w:tentative="1">
      <w:start w:val="1"/>
      <w:numFmt w:val="bullet"/>
      <w:lvlText w:val="o"/>
      <w:lvlJc w:val="left"/>
      <w:pPr>
        <w:ind w:left="5760" w:hanging="360"/>
      </w:pPr>
      <w:rPr>
        <w:rFonts w:ascii="Courier New" w:hAnsi="Courier New" w:cs="Courier New" w:hint="default"/>
      </w:rPr>
    </w:lvl>
    <w:lvl w:ilvl="8" w:tplc="3D6CDB70" w:tentative="1">
      <w:start w:val="1"/>
      <w:numFmt w:val="bullet"/>
      <w:lvlText w:val=""/>
      <w:lvlJc w:val="left"/>
      <w:pPr>
        <w:ind w:left="6480" w:hanging="360"/>
      </w:pPr>
      <w:rPr>
        <w:rFonts w:ascii="Wingdings" w:hAnsi="Wingdings" w:hint="default"/>
      </w:rPr>
    </w:lvl>
  </w:abstractNum>
  <w:abstractNum w:abstractNumId="7">
    <w:nsid w:val="5F586C63"/>
    <w:multiLevelType w:val="hybridMultilevel"/>
    <w:tmpl w:val="D6F63E02"/>
    <w:lvl w:ilvl="0" w:tplc="01240A34">
      <w:start w:val="1"/>
      <w:numFmt w:val="bullet"/>
      <w:lvlText w:val=""/>
      <w:lvlJc w:val="left"/>
      <w:pPr>
        <w:ind w:left="720" w:hanging="360"/>
      </w:pPr>
      <w:rPr>
        <w:rFonts w:ascii="Symbol" w:hAnsi="Symbol" w:hint="default"/>
      </w:rPr>
    </w:lvl>
    <w:lvl w:ilvl="1" w:tplc="D7C64452">
      <w:start w:val="1"/>
      <w:numFmt w:val="bullet"/>
      <w:lvlText w:val="o"/>
      <w:lvlJc w:val="left"/>
      <w:pPr>
        <w:ind w:left="1440" w:hanging="360"/>
      </w:pPr>
      <w:rPr>
        <w:rFonts w:ascii="Courier New" w:hAnsi="Courier New" w:cs="Courier New" w:hint="default"/>
      </w:rPr>
    </w:lvl>
    <w:lvl w:ilvl="2" w:tplc="6BDEACE8">
      <w:start w:val="1"/>
      <w:numFmt w:val="bullet"/>
      <w:lvlText w:val=""/>
      <w:lvlJc w:val="left"/>
      <w:pPr>
        <w:ind w:left="2160" w:hanging="360"/>
      </w:pPr>
      <w:rPr>
        <w:rFonts w:ascii="Wingdings" w:hAnsi="Wingdings" w:hint="default"/>
      </w:rPr>
    </w:lvl>
    <w:lvl w:ilvl="3" w:tplc="AED2424C">
      <w:start w:val="1"/>
      <w:numFmt w:val="bullet"/>
      <w:lvlText w:val=""/>
      <w:lvlJc w:val="left"/>
      <w:pPr>
        <w:ind w:left="2880" w:hanging="360"/>
      </w:pPr>
      <w:rPr>
        <w:rFonts w:ascii="Symbol" w:hAnsi="Symbol" w:hint="default"/>
      </w:rPr>
    </w:lvl>
    <w:lvl w:ilvl="4" w:tplc="B32C4D40">
      <w:start w:val="1"/>
      <w:numFmt w:val="bullet"/>
      <w:lvlText w:val="o"/>
      <w:lvlJc w:val="left"/>
      <w:pPr>
        <w:ind w:left="3600" w:hanging="360"/>
      </w:pPr>
      <w:rPr>
        <w:rFonts w:ascii="Courier New" w:hAnsi="Courier New" w:cs="Courier New" w:hint="default"/>
      </w:rPr>
    </w:lvl>
    <w:lvl w:ilvl="5" w:tplc="F294976E">
      <w:start w:val="1"/>
      <w:numFmt w:val="bullet"/>
      <w:lvlText w:val=""/>
      <w:lvlJc w:val="left"/>
      <w:pPr>
        <w:ind w:left="4320" w:hanging="360"/>
      </w:pPr>
      <w:rPr>
        <w:rFonts w:ascii="Wingdings" w:hAnsi="Wingdings" w:hint="default"/>
      </w:rPr>
    </w:lvl>
    <w:lvl w:ilvl="6" w:tplc="E154F2BC">
      <w:start w:val="1"/>
      <w:numFmt w:val="bullet"/>
      <w:lvlText w:val=""/>
      <w:lvlJc w:val="left"/>
      <w:pPr>
        <w:ind w:left="5040" w:hanging="360"/>
      </w:pPr>
      <w:rPr>
        <w:rFonts w:ascii="Symbol" w:hAnsi="Symbol" w:hint="default"/>
      </w:rPr>
    </w:lvl>
    <w:lvl w:ilvl="7" w:tplc="B8C4CFBA">
      <w:start w:val="1"/>
      <w:numFmt w:val="bullet"/>
      <w:lvlText w:val="o"/>
      <w:lvlJc w:val="left"/>
      <w:pPr>
        <w:ind w:left="5760" w:hanging="360"/>
      </w:pPr>
      <w:rPr>
        <w:rFonts w:ascii="Courier New" w:hAnsi="Courier New" w:cs="Courier New" w:hint="default"/>
      </w:rPr>
    </w:lvl>
    <w:lvl w:ilvl="8" w:tplc="C4CA3456">
      <w:start w:val="1"/>
      <w:numFmt w:val="bullet"/>
      <w:lvlText w:val=""/>
      <w:lvlJc w:val="left"/>
      <w:pPr>
        <w:ind w:left="6480" w:hanging="360"/>
      </w:pPr>
      <w:rPr>
        <w:rFonts w:ascii="Wingdings" w:hAnsi="Wingdings" w:hint="default"/>
      </w:rPr>
    </w:lvl>
  </w:abstractNum>
  <w:abstractNum w:abstractNumId="8">
    <w:nsid w:val="79F91894"/>
    <w:multiLevelType w:val="hybridMultilevel"/>
    <w:tmpl w:val="3418EF82"/>
    <w:lvl w:ilvl="0" w:tplc="4B3E0292">
      <w:start w:val="1"/>
      <w:numFmt w:val="bullet"/>
      <w:lvlText w:val=""/>
      <w:lvlJc w:val="left"/>
      <w:pPr>
        <w:ind w:left="720" w:hanging="360"/>
      </w:pPr>
      <w:rPr>
        <w:rFonts w:ascii="Symbol" w:hAnsi="Symbol" w:hint="default"/>
      </w:rPr>
    </w:lvl>
    <w:lvl w:ilvl="1" w:tplc="DBEA4E4A" w:tentative="1">
      <w:start w:val="1"/>
      <w:numFmt w:val="bullet"/>
      <w:lvlText w:val="o"/>
      <w:lvlJc w:val="left"/>
      <w:pPr>
        <w:ind w:left="1440" w:hanging="360"/>
      </w:pPr>
      <w:rPr>
        <w:rFonts w:ascii="Courier New" w:hAnsi="Courier New" w:cs="Courier New" w:hint="default"/>
      </w:rPr>
    </w:lvl>
    <w:lvl w:ilvl="2" w:tplc="D3D41AC8" w:tentative="1">
      <w:start w:val="1"/>
      <w:numFmt w:val="bullet"/>
      <w:lvlText w:val=""/>
      <w:lvlJc w:val="left"/>
      <w:pPr>
        <w:ind w:left="2160" w:hanging="360"/>
      </w:pPr>
      <w:rPr>
        <w:rFonts w:ascii="Wingdings" w:hAnsi="Wingdings" w:hint="default"/>
      </w:rPr>
    </w:lvl>
    <w:lvl w:ilvl="3" w:tplc="C540A4DE" w:tentative="1">
      <w:start w:val="1"/>
      <w:numFmt w:val="bullet"/>
      <w:lvlText w:val=""/>
      <w:lvlJc w:val="left"/>
      <w:pPr>
        <w:ind w:left="2880" w:hanging="360"/>
      </w:pPr>
      <w:rPr>
        <w:rFonts w:ascii="Symbol" w:hAnsi="Symbol" w:hint="default"/>
      </w:rPr>
    </w:lvl>
    <w:lvl w:ilvl="4" w:tplc="6728D2AC" w:tentative="1">
      <w:start w:val="1"/>
      <w:numFmt w:val="bullet"/>
      <w:lvlText w:val="o"/>
      <w:lvlJc w:val="left"/>
      <w:pPr>
        <w:ind w:left="3600" w:hanging="360"/>
      </w:pPr>
      <w:rPr>
        <w:rFonts w:ascii="Courier New" w:hAnsi="Courier New" w:cs="Courier New" w:hint="default"/>
      </w:rPr>
    </w:lvl>
    <w:lvl w:ilvl="5" w:tplc="9B1889F0" w:tentative="1">
      <w:start w:val="1"/>
      <w:numFmt w:val="bullet"/>
      <w:lvlText w:val=""/>
      <w:lvlJc w:val="left"/>
      <w:pPr>
        <w:ind w:left="4320" w:hanging="360"/>
      </w:pPr>
      <w:rPr>
        <w:rFonts w:ascii="Wingdings" w:hAnsi="Wingdings" w:hint="default"/>
      </w:rPr>
    </w:lvl>
    <w:lvl w:ilvl="6" w:tplc="32AE98EA" w:tentative="1">
      <w:start w:val="1"/>
      <w:numFmt w:val="bullet"/>
      <w:lvlText w:val=""/>
      <w:lvlJc w:val="left"/>
      <w:pPr>
        <w:ind w:left="5040" w:hanging="360"/>
      </w:pPr>
      <w:rPr>
        <w:rFonts w:ascii="Symbol" w:hAnsi="Symbol" w:hint="default"/>
      </w:rPr>
    </w:lvl>
    <w:lvl w:ilvl="7" w:tplc="AE2C745E" w:tentative="1">
      <w:start w:val="1"/>
      <w:numFmt w:val="bullet"/>
      <w:lvlText w:val="o"/>
      <w:lvlJc w:val="left"/>
      <w:pPr>
        <w:ind w:left="5760" w:hanging="360"/>
      </w:pPr>
      <w:rPr>
        <w:rFonts w:ascii="Courier New" w:hAnsi="Courier New" w:cs="Courier New" w:hint="default"/>
      </w:rPr>
    </w:lvl>
    <w:lvl w:ilvl="8" w:tplc="B874B220"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5"/>
  </w:num>
  <w:num w:numId="6">
    <w:abstractNumId w:val="4"/>
  </w:num>
  <w:num w:numId="7">
    <w:abstractNumId w:val="6"/>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embedSystemFonts/>
  <w:proofState w:spelling="clean" w:grammar="clean"/>
  <w:doNotTrackFormatting/>
  <w:styleLockQFSet/>
  <w:defaultTabStop w:val="720"/>
  <w:drawingGridHorizontalSpacing w:val="110"/>
  <w:displayHorizontalDrawingGridEvery w:val="0"/>
  <w:displayVerticalDrawingGridEvery w:val="3"/>
  <w:doNotUseMarginsForDrawingGridOrigin/>
  <w:drawingGridHorizontalOrigin w:val="1152"/>
  <w:drawingGridVerticalOrigin w:val="1008"/>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eckedForWebBugs" w:val="True"/>
    <w:docVar w:name="trailer" w:val="draft"/>
    <w:docVar w:name="TrailerFullName" w:val="C:\Users\fcapurro\Local Data\NRPortbl\US-DOCS\FCAPURRO\102588006_7.docx"/>
    <w:docVar w:name="TrlrDateFlag" w:val="0"/>
    <w:docVar w:name="TrlrDocTitleFlag" w:val="0"/>
    <w:docVar w:name="TrlrDOSFlag" w:val="0"/>
    <w:docVar w:name="TrlrDOSPathFlag" w:val="0"/>
    <w:docVar w:name="TrlrDraftFlag" w:val="0"/>
    <w:docVar w:name="TrlrFirstPageFlag" w:val="0"/>
    <w:docVar w:name="TrlrMatter" w:val="048623-2017"/>
    <w:docVar w:name="TrlrMatterFlag" w:val="0"/>
    <w:docVar w:name="TrlrRedlineFlag" w:val="0"/>
    <w:docVar w:name="TrlrTimeFlag" w:val="0"/>
    <w:docVar w:name="TrlrTypeFlag" w:val="1"/>
  </w:docVars>
  <w:rsids>
    <w:rsidRoot w:val="00F43444"/>
    <w:rsid w:val="0000506E"/>
    <w:rsid w:val="0002731C"/>
    <w:rsid w:val="00115D46"/>
    <w:rsid w:val="0017794B"/>
    <w:rsid w:val="001E08F8"/>
    <w:rsid w:val="002929DD"/>
    <w:rsid w:val="002F0515"/>
    <w:rsid w:val="00332E5A"/>
    <w:rsid w:val="003478DA"/>
    <w:rsid w:val="003B3C99"/>
    <w:rsid w:val="003C1D67"/>
    <w:rsid w:val="004204FB"/>
    <w:rsid w:val="00466F20"/>
    <w:rsid w:val="0047171A"/>
    <w:rsid w:val="00472848"/>
    <w:rsid w:val="005E72F0"/>
    <w:rsid w:val="00630ADA"/>
    <w:rsid w:val="007536B6"/>
    <w:rsid w:val="00842F8F"/>
    <w:rsid w:val="008514F4"/>
    <w:rsid w:val="00881220"/>
    <w:rsid w:val="008A7C6D"/>
    <w:rsid w:val="009F1AB5"/>
    <w:rsid w:val="00A16553"/>
    <w:rsid w:val="00A346B5"/>
    <w:rsid w:val="00B46F35"/>
    <w:rsid w:val="00B848EA"/>
    <w:rsid w:val="00B92E74"/>
    <w:rsid w:val="00BF0782"/>
    <w:rsid w:val="00C05051"/>
    <w:rsid w:val="00C148D4"/>
    <w:rsid w:val="00C8273B"/>
    <w:rsid w:val="00CA7BBC"/>
    <w:rsid w:val="00D67C92"/>
    <w:rsid w:val="00E209FC"/>
    <w:rsid w:val="00EB1888"/>
    <w:rsid w:val="00ED1478"/>
    <w:rsid w:val="00EE1CE4"/>
    <w:rsid w:val="00F02813"/>
    <w:rsid w:val="00F43444"/>
    <w:rsid w:val="00F61020"/>
    <w:rsid w:val="00F97AC2"/>
    <w:rsid w:val="00FA28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AE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200" w:line="276"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99"/>
    <w:qFormat/>
    <w:pPr>
      <w:ind w:left="720"/>
    </w:pPr>
  </w:style>
  <w:style w:type="paragraph" w:styleId="BalloonText">
    <w:name w:val="Balloon Text"/>
    <w:basedOn w:val="Normal"/>
    <w:link w:val="BalloonTextChar"/>
    <w:uiPriority w:val="99"/>
    <w:pPr>
      <w:spacing w:after="0" w:line="240" w:lineRule="auto"/>
    </w:pPr>
    <w:rPr>
      <w:rFonts w:cs="Times New Roman"/>
      <w:sz w:val="18"/>
      <w:szCs w:val="18"/>
    </w:rPr>
  </w:style>
  <w:style w:type="character" w:customStyle="1" w:styleId="BalloonTextChar">
    <w:name w:val="Balloon Text Char"/>
    <w:link w:val="BalloonText"/>
    <w:uiPriority w:val="99"/>
    <w:rPr>
      <w:sz w:val="18"/>
      <w:szCs w:val="18"/>
    </w:rPr>
  </w:style>
  <w:style w:type="character" w:styleId="Hyperlink">
    <w:name w:val="Hyperlink"/>
    <w:uiPriority w:val="99"/>
    <w:rPr>
      <w:color w:val="0000FF"/>
      <w:u w:val="single"/>
    </w:rPr>
  </w:style>
  <w:style w:type="paragraph" w:styleId="MacroText">
    <w:name w:val="macro"/>
    <w:link w:val="MacroTextChar"/>
    <w:uiPriority w:val="9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line="276" w:lineRule="auto"/>
    </w:pPr>
  </w:style>
  <w:style w:type="character" w:customStyle="1" w:styleId="MacroTextChar">
    <w:name w:val="Macro Text Char"/>
    <w:link w:val="MacroText"/>
    <w:uiPriority w:val="99"/>
    <w:rPr>
      <w:lang w:val="en-US" w:eastAsia="en-US" w:bidi="ar-SA"/>
    </w:rPr>
  </w:style>
  <w:style w:type="paragraph" w:styleId="Header">
    <w:name w:val="header"/>
    <w:basedOn w:val="Normal"/>
    <w:link w:val="HeaderChar"/>
    <w:uiPriority w:val="99"/>
    <w:semiHidden/>
    <w:pPr>
      <w:tabs>
        <w:tab w:val="center" w:pos="4680"/>
        <w:tab w:val="right" w:pos="9360"/>
      </w:tabs>
      <w:spacing w:after="0" w:line="240" w:lineRule="auto"/>
    </w:pPr>
  </w:style>
  <w:style w:type="character" w:customStyle="1" w:styleId="HeaderChar">
    <w:name w:val="Header Char"/>
    <w:link w:val="Header"/>
    <w:uiPriority w:val="99"/>
  </w:style>
  <w:style w:type="paragraph" w:styleId="Footer">
    <w:name w:val="footer"/>
    <w:basedOn w:val="Normal"/>
    <w:link w:val="FooterChar"/>
    <w:uiPriority w:val="99"/>
    <w:semiHidden/>
    <w:pPr>
      <w:tabs>
        <w:tab w:val="center" w:pos="4680"/>
        <w:tab w:val="right" w:pos="9360"/>
      </w:tabs>
      <w:spacing w:after="0" w:line="240" w:lineRule="auto"/>
    </w:pPr>
  </w:style>
  <w:style w:type="character" w:customStyle="1" w:styleId="FooterChar">
    <w:name w:val="Footer Char"/>
    <w:link w:val="Footer"/>
    <w:uiPriority w:val="99"/>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CommentTextChar">
    <w:name w:val="Comment Text Char"/>
    <w:link w:val="CommentText"/>
    <w:uiPriority w:val="99"/>
    <w:rPr>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link w:val="CommentSubject"/>
    <w:uiPriority w:val="99"/>
    <w:rPr>
      <w:b/>
      <w:bCs/>
      <w:sz w:val="20"/>
      <w:szCs w:val="20"/>
    </w:rPr>
  </w:style>
  <w:style w:type="paragraph" w:customStyle="1" w:styleId="MediumList2-Accent21">
    <w:name w:val="Medium List 2 - Accent 21"/>
    <w:uiPriority w:val="99"/>
    <w:pPr>
      <w:widowControl w:val="0"/>
      <w:autoSpaceDE w:val="0"/>
      <w:autoSpaceDN w:val="0"/>
      <w:adjustRightInd w:val="0"/>
    </w:pPr>
    <w:rPr>
      <w:rFonts w:cs="Calibri"/>
      <w:sz w:val="22"/>
      <w:szCs w:val="22"/>
    </w:rPr>
  </w:style>
  <w:style w:type="paragraph" w:styleId="NormalWeb">
    <w:name w:val="Normal (Web)"/>
    <w:basedOn w:val="Normal"/>
    <w:uiPriority w:val="99"/>
    <w:rPr>
      <w:rFonts w:ascii="Times New Roman" w:hAnsi="Times New Roman" w:cs="Times New Roman"/>
      <w:sz w:val="24"/>
      <w:szCs w:val="24"/>
    </w:rPr>
  </w:style>
  <w:style w:type="paragraph" w:styleId="FootnoteText">
    <w:name w:val="footnote text"/>
    <w:basedOn w:val="Normal"/>
    <w:link w:val="FootnoteTextChar"/>
    <w:uiPriority w:val="99"/>
    <w:pPr>
      <w:spacing w:after="0" w:line="240" w:lineRule="auto"/>
    </w:pPr>
    <w:rPr>
      <w:rFonts w:cs="Times New Roman"/>
      <w:sz w:val="20"/>
      <w:szCs w:val="20"/>
    </w:rPr>
  </w:style>
  <w:style w:type="character" w:customStyle="1" w:styleId="FootnoteTextChar">
    <w:name w:val="Footnote Text Char"/>
    <w:link w:val="FootnoteText"/>
    <w:uiPriority w:val="99"/>
    <w:rPr>
      <w:sz w:val="20"/>
      <w:szCs w:val="20"/>
    </w:rPr>
  </w:style>
  <w:style w:type="character" w:styleId="FootnoteReference">
    <w:name w:val="footnote reference"/>
    <w:uiPriority w:val="99"/>
  </w:style>
  <w:style w:type="character" w:styleId="PlaceholderText">
    <w:name w:val="Placeholder Text"/>
    <w:basedOn w:val="DefaultParagraphFont"/>
    <w:uiPriority w:val="99"/>
    <w:semiHidden/>
    <w:rPr>
      <w:color w:val="808080"/>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widowControl/>
      <w:autoSpaceDE/>
      <w:autoSpaceDN/>
      <w:adjustRightInd/>
      <w:spacing w:after="160" w:line="259" w:lineRule="auto"/>
      <w:ind w:left="720"/>
      <w:contextualSpacing/>
    </w:pPr>
    <w:rPr>
      <w:rFonts w:asciiTheme="minorHAnsi" w:eastAsiaTheme="minorEastAsia" w:hAnsiTheme="minorHAnsi" w:cstheme="minorBidi"/>
      <w:lang w:eastAsia="zh-TW"/>
    </w:rPr>
  </w:style>
  <w:style w:type="character" w:customStyle="1" w:styleId="UnresolvedMention1">
    <w:name w:val="Unresolved Mention1"/>
    <w:basedOn w:val="DefaultParagraphFont"/>
    <w:uiPriority w:val="99"/>
    <w:semiHidden/>
    <w:unhideWhenUsed/>
    <w:rPr>
      <w:color w:val="808080"/>
      <w:shd w:val="clear" w:color="auto" w:fill="E6E6E6"/>
    </w:rPr>
  </w:style>
  <w:style w:type="character" w:customStyle="1" w:styleId="UnresolvedMention2">
    <w:name w:val="Unresolved Mention2"/>
    <w:basedOn w:val="DefaultParagraphFont"/>
    <w:uiPriority w:val="99"/>
    <w:semiHidden/>
    <w:unhideWhenUsed/>
    <w:rPr>
      <w:color w:val="605E5C"/>
      <w:shd w:val="clear" w:color="auto" w:fill="E1DFDD"/>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7412">
      <w:bodyDiv w:val="1"/>
      <w:marLeft w:val="0"/>
      <w:marRight w:val="0"/>
      <w:marTop w:val="0"/>
      <w:marBottom w:val="0"/>
      <w:divBdr>
        <w:top w:val="none" w:sz="0" w:space="0" w:color="auto"/>
        <w:left w:val="none" w:sz="0" w:space="0" w:color="auto"/>
        <w:bottom w:val="none" w:sz="0" w:space="0" w:color="auto"/>
        <w:right w:val="none" w:sz="0" w:space="0" w:color="auto"/>
      </w:divBdr>
    </w:div>
    <w:div w:id="126240593">
      <w:bodyDiv w:val="1"/>
      <w:marLeft w:val="0"/>
      <w:marRight w:val="0"/>
      <w:marTop w:val="0"/>
      <w:marBottom w:val="0"/>
      <w:divBdr>
        <w:top w:val="none" w:sz="0" w:space="0" w:color="auto"/>
        <w:left w:val="none" w:sz="0" w:space="0" w:color="auto"/>
        <w:bottom w:val="none" w:sz="0" w:space="0" w:color="auto"/>
        <w:right w:val="none" w:sz="0" w:space="0" w:color="auto"/>
      </w:divBdr>
    </w:div>
    <w:div w:id="772629606">
      <w:bodyDiv w:val="1"/>
      <w:marLeft w:val="0"/>
      <w:marRight w:val="0"/>
      <w:marTop w:val="0"/>
      <w:marBottom w:val="0"/>
      <w:divBdr>
        <w:top w:val="none" w:sz="0" w:space="0" w:color="auto"/>
        <w:left w:val="none" w:sz="0" w:space="0" w:color="auto"/>
        <w:bottom w:val="none" w:sz="0" w:space="0" w:color="auto"/>
        <w:right w:val="none" w:sz="0" w:space="0" w:color="auto"/>
      </w:divBdr>
    </w:div>
    <w:div w:id="1941140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microsoft.com/office/2007/relationships/stylesWithEffects" Target="stylesWithEffect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3.emf"/><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rlynx.com/pdf/full-prescribing-information.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2071</Words>
  <Characters>11951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13995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dcterms:created xsi:type="dcterms:W3CDTF">2018-08-08T20:33:00Z</dcterms:created>
  <dcterms:modified xsi:type="dcterms:W3CDTF">2018-08-08T22:08:00Z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{REF:0486232017}</vt:lpwstr>
  </property>
</Properties>
</file>