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25B7E" w14:textId="77777777" w:rsidR="00E9097F" w:rsidRDefault="00395E48">
      <w:pPr>
        <w:spacing w:after="0" w:line="240" w:lineRule="auto"/>
        <w:rPr>
          <w:sz w:val="20"/>
          <w:szCs w:val="20"/>
        </w:rPr>
      </w:pPr>
      <w:bookmarkStart w:id="0" w:name="_Hlk496117914"/>
      <w:r>
        <w:rPr>
          <w:noProof/>
        </w:rPr>
        <w:drawing>
          <wp:inline distT="0" distB="0" distL="0" distR="0" wp14:anchorId="2BF6F201" wp14:editId="3BAEE7CE">
            <wp:extent cx="15982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194867"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98295" cy="564515"/>
                    </a:xfrm>
                    <a:prstGeom prst="rect">
                      <a:avLst/>
                    </a:prstGeom>
                    <a:noFill/>
                    <a:ln>
                      <a:noFill/>
                    </a:ln>
                  </pic:spPr>
                </pic:pic>
              </a:graphicData>
            </a:graphic>
          </wp:inline>
        </w:drawing>
      </w:r>
      <w:r>
        <w:tab/>
      </w:r>
      <w:r>
        <w:tab/>
      </w:r>
      <w:r>
        <w:tab/>
      </w:r>
      <w:r>
        <w:tab/>
      </w:r>
      <w:r>
        <w:tab/>
      </w:r>
      <w:r>
        <w:tab/>
      </w:r>
      <w:r>
        <w:tab/>
      </w:r>
      <w:r>
        <w:tab/>
      </w:r>
      <w:r>
        <w:tab/>
      </w:r>
      <w:r>
        <w:tab/>
      </w:r>
      <w:r>
        <w:tab/>
      </w:r>
      <w:r>
        <w:tab/>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4CCDEB2" w14:textId="77777777" w:rsidR="00E9097F" w:rsidRDefault="00395E48">
      <w:pPr>
        <w:spacing w:after="0" w:line="240" w:lineRule="auto"/>
        <w:ind w:right="6254"/>
        <w:jc w:val="both"/>
        <w:rPr>
          <w:rFonts w:ascii="Times New Roman" w:eastAsia="Arial" w:hAnsi="Times New Roman" w:cs="Times New Roman"/>
          <w:sz w:val="40"/>
          <w:szCs w:val="40"/>
        </w:rPr>
      </w:pPr>
      <w:r>
        <w:rPr>
          <w:rFonts w:ascii="Times New Roman" w:eastAsia="Arial" w:hAnsi="Times New Roman" w:cs="Times New Roman"/>
          <w:b/>
          <w:bCs/>
          <w:sz w:val="40"/>
          <w:szCs w:val="40"/>
        </w:rPr>
        <w:t>News Rel</w:t>
      </w:r>
      <w:r>
        <w:rPr>
          <w:rFonts w:ascii="Times New Roman" w:eastAsia="Arial" w:hAnsi="Times New Roman" w:cs="Times New Roman"/>
          <w:b/>
          <w:bCs/>
          <w:spacing w:val="-2"/>
          <w:sz w:val="40"/>
          <w:szCs w:val="40"/>
        </w:rPr>
        <w:t>e</w:t>
      </w:r>
      <w:r>
        <w:rPr>
          <w:rFonts w:ascii="Times New Roman" w:eastAsia="Arial" w:hAnsi="Times New Roman" w:cs="Times New Roman"/>
          <w:b/>
          <w:bCs/>
          <w:sz w:val="40"/>
          <w:szCs w:val="40"/>
        </w:rPr>
        <w:t>ase</w:t>
      </w:r>
      <w:r>
        <w:rPr>
          <w:rFonts w:ascii="Times New Roman" w:eastAsia="Arial" w:hAnsi="Times New Roman" w:cs="Times New Roman"/>
          <w:b/>
          <w:bCs/>
          <w:sz w:val="40"/>
          <w:szCs w:val="40"/>
        </w:rPr>
        <w:tab/>
      </w:r>
    </w:p>
    <w:p w14:paraId="6288180C" w14:textId="77777777" w:rsidR="00E9097F" w:rsidRDefault="00395E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Puma Biotechnology Reports Third Quarter 2017 Financial Results</w:t>
      </w:r>
    </w:p>
    <w:p w14:paraId="1A0F65D8" w14:textId="77777777" w:rsidR="00E9097F" w:rsidRDefault="00395E48">
      <w:pPr>
        <w:spacing w:before="60" w:after="0" w:line="240" w:lineRule="auto"/>
        <w:ind w:right="53"/>
        <w:jc w:val="center"/>
        <w:rPr>
          <w:rFonts w:ascii="Times New Roman" w:eastAsia="Times New Roman" w:hAnsi="Times New Roman" w:cs="Times New Roman"/>
          <w:b/>
          <w:i/>
          <w:spacing w:val="3"/>
          <w:sz w:val="26"/>
          <w:szCs w:val="26"/>
        </w:rPr>
      </w:pPr>
      <w:r>
        <w:rPr>
          <w:rFonts w:ascii="Times New Roman" w:eastAsia="Times New Roman" w:hAnsi="Times New Roman" w:cs="Times New Roman"/>
          <w:b/>
          <w:i/>
          <w:iCs/>
          <w:spacing w:val="3"/>
        </w:rPr>
        <w:t xml:space="preserve"> </w:t>
      </w:r>
      <w:r>
        <w:rPr>
          <w:rFonts w:ascii="Times New Roman" w:eastAsia="Times New Roman" w:hAnsi="Times New Roman" w:cs="Times New Roman"/>
          <w:b/>
          <w:i/>
          <w:iCs/>
          <w:spacing w:val="3"/>
          <w:sz w:val="26"/>
          <w:szCs w:val="26"/>
        </w:rPr>
        <w:t>Results include the initial sales of NERLYNX</w:t>
      </w:r>
      <w:r w:rsidRPr="00C15E82">
        <w:rPr>
          <w:rFonts w:ascii="Times New Roman" w:eastAsia="Times New Roman" w:hAnsi="Times New Roman" w:cs="Times New Roman"/>
          <w:b/>
          <w:i/>
          <w:iCs/>
          <w:spacing w:val="3"/>
          <w:sz w:val="28"/>
          <w:szCs w:val="28"/>
          <w:vertAlign w:val="superscript"/>
        </w:rPr>
        <w:t>®</w:t>
      </w:r>
      <w:r>
        <w:rPr>
          <w:rFonts w:ascii="Times New Roman" w:eastAsia="Times New Roman" w:hAnsi="Times New Roman" w:cs="Times New Roman"/>
          <w:b/>
          <w:i/>
          <w:iCs/>
          <w:spacing w:val="3"/>
          <w:sz w:val="26"/>
          <w:szCs w:val="26"/>
        </w:rPr>
        <w:t xml:space="preserve"> in the U.S.</w:t>
      </w:r>
    </w:p>
    <w:p w14:paraId="5BC2CF02" w14:textId="77777777" w:rsidR="00E9097F" w:rsidRDefault="00096132">
      <w:pPr>
        <w:spacing w:after="0" w:line="240" w:lineRule="auto"/>
        <w:ind w:right="53"/>
        <w:jc w:val="both"/>
        <w:rPr>
          <w:rFonts w:ascii="Times New Roman" w:eastAsia="Times New Roman" w:hAnsi="Times New Roman" w:cs="Times New Roman"/>
          <w:b/>
          <w:bCs/>
          <w:sz w:val="26"/>
          <w:szCs w:val="26"/>
        </w:rPr>
      </w:pPr>
    </w:p>
    <w:p w14:paraId="5B8C5AC3" w14:textId="77777777" w:rsidR="00E9097F" w:rsidRDefault="00395E48">
      <w:pPr>
        <w:spacing w:after="0" w:line="240" w:lineRule="auto"/>
        <w:jc w:val="both"/>
        <w:rPr>
          <w:rFonts w:ascii="Times New Roman" w:eastAsia="Times New Roman" w:hAnsi="Times New Roman" w:cs="Times New Roman"/>
          <w:spacing w:val="3"/>
        </w:rPr>
      </w:pPr>
      <w:r>
        <w:rPr>
          <w:rFonts w:ascii="Times New Roman" w:eastAsia="Times New Roman" w:hAnsi="Times New Roman" w:cs="Times New Roman"/>
          <w:b/>
          <w:bCs/>
        </w:rPr>
        <w:t>LOS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N</w:t>
      </w:r>
      <w:r>
        <w:rPr>
          <w:rFonts w:ascii="Times New Roman" w:eastAsia="Times New Roman" w:hAnsi="Times New Roman" w:cs="Times New Roman"/>
          <w:b/>
          <w:bCs/>
        </w:rPr>
        <w:t>GEL</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Cali</w:t>
      </w:r>
      <w:r>
        <w:rPr>
          <w:rFonts w:ascii="Times New Roman" w:eastAsia="Times New Roman" w:hAnsi="Times New Roman" w:cs="Times New Roman"/>
          <w:b/>
          <w:bCs/>
          <w:spacing w:val="1"/>
        </w:rPr>
        <w:t>f</w:t>
      </w:r>
      <w:r w:rsidRPr="00AB06FF">
        <w:rPr>
          <w:rFonts w:ascii="Times New Roman" w:eastAsia="Times New Roman" w:hAnsi="Times New Roman" w:cs="Times New Roman"/>
          <w:b/>
          <w:bCs/>
        </w:rPr>
        <w:t>.,</w:t>
      </w:r>
      <w:r w:rsidRPr="00AB06FF">
        <w:rPr>
          <w:rFonts w:ascii="Times New Roman" w:eastAsia="Times New Roman" w:hAnsi="Times New Roman" w:cs="Times New Roman"/>
          <w:b/>
          <w:bCs/>
          <w:spacing w:val="1"/>
        </w:rPr>
        <w:t xml:space="preserve"> </w:t>
      </w:r>
      <w:r w:rsidRPr="00AB06FF">
        <w:rPr>
          <w:rFonts w:ascii="Times New Roman" w:eastAsia="Times New Roman" w:hAnsi="Times New Roman" w:cs="Times New Roman"/>
          <w:b/>
          <w:bCs/>
        </w:rPr>
        <w:t>Nov. 9,</w:t>
      </w:r>
      <w:r>
        <w:rPr>
          <w:rFonts w:ascii="Times New Roman" w:eastAsia="Times New Roman" w:hAnsi="Times New Roman" w:cs="Times New Roman"/>
          <w:b/>
          <w:bCs/>
        </w:rPr>
        <w:t xml:space="preserve"> 2017</w:t>
      </w:r>
      <w:r>
        <w:rPr>
          <w:rFonts w:ascii="Times New Roman" w:eastAsia="Times New Roman" w:hAnsi="Times New Roman" w:cs="Times New Roman"/>
          <w:b/>
          <w:bCs/>
          <w:spacing w:val="1"/>
        </w:rPr>
        <w:t xml:space="preserve"> </w:t>
      </w:r>
      <w:r>
        <w:rPr>
          <w:rFonts w:ascii="Symbol" w:eastAsia="Symbol" w:hAnsi="Symbol" w:cs="Symbol"/>
        </w:rPr>
        <w:sym w:font="Symbol" w:char="F02D"/>
      </w:r>
      <w:r>
        <w:rPr>
          <w:rFonts w:ascii="Symbol" w:eastAsia="Symbol" w:hAnsi="Symbol" w:cs="Symbol"/>
        </w:rPr>
        <w:sym w:font="Symbol" w:char="F020"/>
      </w:r>
      <w:r>
        <w:rPr>
          <w:rFonts w:ascii="Times New Roman" w:eastAsia="Times New Roman" w:hAnsi="Times New Roman" w:cs="Times New Roman"/>
        </w:rPr>
        <w:t>Pu</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Biotechnology,</w:t>
      </w:r>
      <w:r>
        <w:rPr>
          <w:rFonts w:ascii="Times New Roman" w:eastAsia="Times New Roman" w:hAnsi="Times New Roman" w:cs="Times New Roman"/>
          <w:spacing w:val="1"/>
        </w:rPr>
        <w:t xml:space="preserve"> </w:t>
      </w:r>
      <w:r>
        <w:rPr>
          <w:rFonts w:ascii="Times New Roman" w:eastAsia="Times New Roman" w:hAnsi="Times New Roman" w:cs="Times New Roman"/>
        </w:rPr>
        <w:t>Inc</w:t>
      </w:r>
      <w:r>
        <w:rPr>
          <w:rFonts w:ascii="Times New Roman" w:eastAsia="Times New Roman" w:hAnsi="Times New Roman" w:cs="Times New Roman"/>
          <w:spacing w:val="-1"/>
        </w:rPr>
        <w:t>. (NASDAQ: PBYI)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 biopharmaceutical company, announced financial results for the third quarter and nine months ended September 30, 2017. Unless otherwise stated, all comparisons are for the third quarter and nine months of 2017 compared to the third quarter and nine months of 2016.</w:t>
      </w:r>
    </w:p>
    <w:p w14:paraId="3282DF48" w14:textId="77777777" w:rsidR="00E9097F" w:rsidRDefault="00096132">
      <w:pPr>
        <w:spacing w:after="0" w:line="240" w:lineRule="auto"/>
        <w:jc w:val="both"/>
        <w:rPr>
          <w:rFonts w:ascii="Times New Roman" w:eastAsia="Times New Roman" w:hAnsi="Times New Roman" w:cs="Times New Roman"/>
        </w:rPr>
      </w:pPr>
    </w:p>
    <w:p w14:paraId="61BC8AF8" w14:textId="77777777" w:rsidR="00E9097F" w:rsidRDefault="00395E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On July 17, 2017, Puma Biotechnology received approval from the U.S. Food and Drug Administration (FDA) for NERLYNX</w:t>
      </w:r>
      <w:r w:rsidRPr="007B0BC7">
        <w:rPr>
          <w:rFonts w:ascii="Times New Roman" w:eastAsia="Times New Roman" w:hAnsi="Times New Roman" w:cs="Times New Roman"/>
          <w:sz w:val="24"/>
          <w:szCs w:val="24"/>
          <w:vertAlign w:val="superscript"/>
        </w:rPr>
        <w:t>®</w:t>
      </w:r>
      <w:r>
        <w:rPr>
          <w:rFonts w:ascii="Times New Roman" w:eastAsia="Times New Roman" w:hAnsi="Times New Roman" w:cs="Times New Roman"/>
        </w:rPr>
        <w:t xml:space="preserve"> </w:t>
      </w:r>
      <w:r>
        <w:rPr>
          <w:rFonts w:ascii="Times New Roman" w:hAnsi="Times New Roman" w:cs="Times New Roman"/>
          <w:color w:val="000000" w:themeColor="text1"/>
        </w:rPr>
        <w:t xml:space="preserve">(neratinib) </w:t>
      </w:r>
      <w:r>
        <w:rPr>
          <w:rFonts w:ascii="Times New Roman" w:eastAsia="Times New Roman" w:hAnsi="Times New Roman" w:cs="Times New Roman"/>
        </w:rPr>
        <w:t>for the treatment of early stage HER2-positive breast cancer following adjuvant trastuzumab-based therapy, and began shipments to wholesalers at the end of July 2017. In the third quarter of 2017, the Company reported net revenue from initial sales of NERLYNX of approximately $6.1 million.</w:t>
      </w:r>
    </w:p>
    <w:p w14:paraId="192C46AE" w14:textId="77777777" w:rsidR="00E9097F" w:rsidRDefault="00096132">
      <w:pPr>
        <w:spacing w:after="0" w:line="240" w:lineRule="auto"/>
        <w:jc w:val="both"/>
        <w:rPr>
          <w:rFonts w:ascii="Times New Roman" w:eastAsia="Times New Roman" w:hAnsi="Times New Roman" w:cs="Times New Roman"/>
        </w:rPr>
      </w:pPr>
    </w:p>
    <w:p w14:paraId="52A03AFB" w14:textId="77777777" w:rsidR="00E9097F" w:rsidRDefault="00395E48">
      <w:pPr>
        <w:pStyle w:val="NormalWeb"/>
        <w:spacing w:before="0" w:beforeAutospacing="0" w:after="0" w:afterAutospacing="0"/>
        <w:jc w:val="both"/>
        <w:rPr>
          <w:color w:val="000000"/>
          <w:sz w:val="22"/>
          <w:szCs w:val="22"/>
        </w:rPr>
      </w:pPr>
      <w:r>
        <w:rPr>
          <w:color w:val="000000"/>
          <w:sz w:val="22"/>
          <w:szCs w:val="22"/>
        </w:rPr>
        <w:t xml:space="preserve">Based on accounting principles generally accepted in the United States (GAAP), Puma reported a </w:t>
      </w:r>
      <w:r>
        <w:rPr>
          <w:sz w:val="22"/>
          <w:szCs w:val="22"/>
        </w:rPr>
        <w:t xml:space="preserve">net loss </w:t>
      </w:r>
      <w:r>
        <w:rPr>
          <w:color w:val="000000"/>
          <w:sz w:val="22"/>
          <w:szCs w:val="22"/>
        </w:rPr>
        <w:t xml:space="preserve">applicable to common stock of $77.2 million, or $2.07 per share, for the third quarter of 2017, compared to a net loss applicable to common stock of $65.8 million, or $2.02 per share, for the third quarter of 2016.  Net loss applicable to common stock for the first nine months of 2017 was $227.9 million, or $6.15 per share, compared to $203.4 million, or $6.26 per share, for the first nine months of 2016. </w:t>
      </w:r>
    </w:p>
    <w:p w14:paraId="68038ABE" w14:textId="77777777" w:rsidR="00E9097F" w:rsidRDefault="00096132">
      <w:pPr>
        <w:pStyle w:val="NormalWeb"/>
        <w:spacing w:before="0" w:beforeAutospacing="0" w:after="0" w:afterAutospacing="0"/>
        <w:jc w:val="both"/>
        <w:rPr>
          <w:color w:val="000000"/>
          <w:sz w:val="22"/>
          <w:szCs w:val="22"/>
        </w:rPr>
      </w:pPr>
    </w:p>
    <w:p w14:paraId="6AEE99E0" w14:textId="77777777" w:rsidR="00E9097F" w:rsidRDefault="00395E48">
      <w:pPr>
        <w:pStyle w:val="NormalWeb"/>
        <w:spacing w:before="0" w:beforeAutospacing="0" w:after="0" w:afterAutospacing="0"/>
        <w:jc w:val="both"/>
        <w:rPr>
          <w:color w:val="000000"/>
          <w:sz w:val="22"/>
          <w:szCs w:val="22"/>
        </w:rPr>
      </w:pPr>
      <w:r>
        <w:rPr>
          <w:color w:val="000000"/>
          <w:sz w:val="22"/>
          <w:szCs w:val="22"/>
        </w:rPr>
        <w:t xml:space="preserve">Non-GAAP adjusted </w:t>
      </w:r>
      <w:r>
        <w:rPr>
          <w:sz w:val="22"/>
          <w:szCs w:val="22"/>
        </w:rPr>
        <w:t xml:space="preserve">net loss </w:t>
      </w:r>
      <w:r>
        <w:rPr>
          <w:color w:val="000000"/>
          <w:sz w:val="22"/>
          <w:szCs w:val="22"/>
        </w:rPr>
        <w:t xml:space="preserve">was $50.7 million, or $1.36 per share, for the </w:t>
      </w:r>
      <w:r>
        <w:rPr>
          <w:sz w:val="22"/>
          <w:szCs w:val="22"/>
        </w:rPr>
        <w:t>third</w:t>
      </w:r>
      <w:r>
        <w:rPr>
          <w:b/>
          <w:color w:val="FF0000"/>
          <w:sz w:val="32"/>
          <w:szCs w:val="32"/>
        </w:rPr>
        <w:t xml:space="preserve"> </w:t>
      </w:r>
      <w:r>
        <w:rPr>
          <w:color w:val="000000"/>
          <w:sz w:val="22"/>
          <w:szCs w:val="22"/>
        </w:rPr>
        <w:t>quarter of 2017, compared to non-GAAP adjusted net loss of $36.0 million, or $1.11 per share, for the third quarter of 2016. Non-GAAP adjusted net loss for the nine months ended September 30, 2017 was $144.7 million, or $3.90 per share, compared to non-GAAP adjusted net loss of $115.4 million, or $3.55 per share, for the nine months ended September 30, 2016.  Non-GAAP adjusted net loss excludes stock-based compensation expense, which represents a significant portion of overall expense and has no impact on the cash position of the Company.  For a reconciliation of GAAP net loss to non-GAAP adjusted net loss and GAAP net loss per share to non-GAAP adjusted net loss per share, please see the financial tables at the end of this news release.</w:t>
      </w:r>
    </w:p>
    <w:p w14:paraId="5E921412" w14:textId="77777777" w:rsidR="00E9097F" w:rsidRDefault="00096132">
      <w:pPr>
        <w:pStyle w:val="NormalWeb"/>
        <w:spacing w:before="0" w:beforeAutospacing="0" w:after="0" w:afterAutospacing="0"/>
        <w:jc w:val="both"/>
        <w:rPr>
          <w:color w:val="000000"/>
          <w:sz w:val="22"/>
          <w:szCs w:val="22"/>
        </w:rPr>
      </w:pPr>
    </w:p>
    <w:p w14:paraId="2518CD62" w14:textId="77777777" w:rsidR="00E9097F" w:rsidRDefault="00395E48">
      <w:pPr>
        <w:pStyle w:val="NormalWeb"/>
        <w:spacing w:before="0" w:beforeAutospacing="0" w:after="0" w:afterAutospacing="0"/>
        <w:jc w:val="both"/>
        <w:rPr>
          <w:color w:val="000000"/>
          <w:sz w:val="22"/>
          <w:szCs w:val="22"/>
        </w:rPr>
      </w:pPr>
      <w:r>
        <w:rPr>
          <w:color w:val="000000"/>
          <w:sz w:val="22"/>
          <w:szCs w:val="22"/>
        </w:rPr>
        <w:t xml:space="preserve">Net cash used in operating activities for the third quarter of 2017 was $54.9 million. Net cash used in operating activities for the nine months ended September 30, 2017 was $136.9 million.  At September 30, 2017, Puma had cash and cash equivalents of $79.7 million and marketable securities of $26.6 million, compared to cash and cash equivalents of $194.5 million and marketable securities of $35.0 million at December 31, 2016.  </w:t>
      </w:r>
    </w:p>
    <w:p w14:paraId="438BF015" w14:textId="77777777" w:rsidR="00E9097F" w:rsidRDefault="00096132">
      <w:pPr>
        <w:pStyle w:val="NormalWeb"/>
        <w:spacing w:before="0" w:beforeAutospacing="0" w:after="0" w:afterAutospacing="0"/>
        <w:jc w:val="both"/>
        <w:rPr>
          <w:color w:val="000000"/>
          <w:sz w:val="22"/>
          <w:szCs w:val="22"/>
        </w:rPr>
      </w:pPr>
    </w:p>
    <w:p w14:paraId="6A863A68" w14:textId="77777777" w:rsidR="00E9097F" w:rsidRDefault="00395E48">
      <w:pPr>
        <w:pStyle w:val="NormalWeb"/>
        <w:spacing w:before="0" w:beforeAutospacing="0" w:after="0" w:afterAutospacing="0"/>
        <w:jc w:val="both"/>
        <w:rPr>
          <w:color w:val="000000"/>
          <w:sz w:val="22"/>
          <w:szCs w:val="22"/>
        </w:rPr>
      </w:pPr>
      <w:bookmarkStart w:id="1" w:name="_GoBack"/>
      <w:r>
        <w:rPr>
          <w:color w:val="000000"/>
          <w:sz w:val="22"/>
          <w:szCs w:val="22"/>
        </w:rPr>
        <w:t xml:space="preserve">Effective October </w:t>
      </w:r>
      <w:bookmarkEnd w:id="1"/>
      <w:r>
        <w:rPr>
          <w:color w:val="000000"/>
          <w:sz w:val="22"/>
          <w:szCs w:val="22"/>
        </w:rPr>
        <w:t xml:space="preserve">31, 2017, Puma entered into a credit facility with Silicon Valley Bank and Oxford Finance for a term loan of up to $100 million, subject to funding in two tranches.  The Company received gross proceeds of $50 million from the first tranche of the credit facility upon closing on October 31, 2017 and intends to use the funds for general corporate purposes and to further support NERLYNX commercial initiatives.  </w:t>
      </w:r>
      <w:r w:rsidRPr="0046184F">
        <w:rPr>
          <w:color w:val="000000"/>
          <w:sz w:val="22"/>
          <w:szCs w:val="22"/>
        </w:rPr>
        <w:t xml:space="preserve">The second tranche of $50 million may be drawn at the Company’s option </w:t>
      </w:r>
      <w:r w:rsidR="0046184F">
        <w:rPr>
          <w:color w:val="000000"/>
          <w:sz w:val="22"/>
          <w:szCs w:val="22"/>
        </w:rPr>
        <w:t>and is subject to the achievement of certain milestones</w:t>
      </w:r>
      <w:r w:rsidRPr="0046184F">
        <w:rPr>
          <w:color w:val="000000"/>
          <w:sz w:val="22"/>
          <w:szCs w:val="22"/>
        </w:rPr>
        <w:t>.  The</w:t>
      </w:r>
      <w:r>
        <w:rPr>
          <w:color w:val="000000"/>
          <w:sz w:val="22"/>
          <w:szCs w:val="22"/>
        </w:rPr>
        <w:t xml:space="preserve"> loan will mature on October 31, 2022.</w:t>
      </w:r>
    </w:p>
    <w:p w14:paraId="3A7B8D62" w14:textId="77777777" w:rsidR="00E9097F" w:rsidRDefault="00096132">
      <w:pPr>
        <w:pStyle w:val="NormalWeb"/>
        <w:spacing w:before="0" w:beforeAutospacing="0" w:after="0" w:afterAutospacing="0"/>
        <w:jc w:val="both"/>
        <w:rPr>
          <w:color w:val="000000"/>
          <w:sz w:val="22"/>
          <w:szCs w:val="22"/>
        </w:rPr>
      </w:pPr>
    </w:p>
    <w:p w14:paraId="30EBCE21" w14:textId="77777777" w:rsidR="00E9097F" w:rsidRDefault="00395E48">
      <w:pPr>
        <w:pStyle w:val="Heading1"/>
        <w:spacing w:before="0" w:beforeAutospacing="0" w:after="0" w:afterAutospacing="0"/>
        <w:jc w:val="both"/>
        <w:rPr>
          <w:b w:val="0"/>
          <w:color w:val="000000"/>
          <w:sz w:val="22"/>
          <w:szCs w:val="22"/>
        </w:rPr>
      </w:pPr>
      <w:r>
        <w:rPr>
          <w:b w:val="0"/>
          <w:color w:val="000000"/>
          <w:sz w:val="22"/>
          <w:szCs w:val="22"/>
        </w:rPr>
        <w:t xml:space="preserve">“With the U.S. approval and launch of NERLYNX in the third quarter, we began providing early stage HER2-positive breast cancer patients with an additional option to reduce their risk of disease recurrence,” said Puma Chief Executive Officer and President Alan H. Auerbach. “We are pleased with the feedback that </w:t>
      </w:r>
      <w:r>
        <w:rPr>
          <w:b w:val="0"/>
          <w:color w:val="000000"/>
          <w:sz w:val="22"/>
          <w:szCs w:val="22"/>
        </w:rPr>
        <w:lastRenderedPageBreak/>
        <w:t xml:space="preserve">we have received from patients, prescribers and </w:t>
      </w:r>
      <w:proofErr w:type="spellStart"/>
      <w:r>
        <w:rPr>
          <w:b w:val="0"/>
          <w:color w:val="000000"/>
          <w:sz w:val="22"/>
          <w:szCs w:val="22"/>
        </w:rPr>
        <w:t>payors</w:t>
      </w:r>
      <w:proofErr w:type="spellEnd"/>
      <w:r>
        <w:rPr>
          <w:b w:val="0"/>
          <w:color w:val="000000"/>
          <w:sz w:val="22"/>
          <w:szCs w:val="22"/>
        </w:rPr>
        <w:t xml:space="preserve"> during the initial launch and we look forward to continuing to execute our commercial activities throughout 2017 and beyond.  </w:t>
      </w:r>
    </w:p>
    <w:p w14:paraId="614FA68C" w14:textId="77777777" w:rsidR="00E9097F" w:rsidRDefault="00395E48">
      <w:pPr>
        <w:pStyle w:val="NormalWeb"/>
        <w:spacing w:after="0"/>
        <w:jc w:val="both"/>
        <w:rPr>
          <w:color w:val="000000"/>
          <w:sz w:val="22"/>
          <w:szCs w:val="22"/>
        </w:rPr>
      </w:pPr>
      <w:r>
        <w:rPr>
          <w:color w:val="000000"/>
          <w:sz w:val="22"/>
          <w:szCs w:val="22"/>
        </w:rPr>
        <w:t xml:space="preserve">“Looking forward, we anticipate the following milestones: (i) reporting additional data from the Phase II CONTROL trial in the fourth quarter of 2017; (ii) receiving a regulatory opinion from the </w:t>
      </w:r>
      <w:r>
        <w:rPr>
          <w:color w:val="000000"/>
        </w:rPr>
        <w:t>Committee for Medicinal Products for Human Use (</w:t>
      </w:r>
      <w:r>
        <w:rPr>
          <w:bCs/>
          <w:color w:val="000000"/>
        </w:rPr>
        <w:t>CHMP</w:t>
      </w:r>
      <w:r>
        <w:rPr>
          <w:color w:val="000000"/>
        </w:rPr>
        <w:t>) for</w:t>
      </w:r>
      <w:r>
        <w:rPr>
          <w:color w:val="000000"/>
          <w:sz w:val="22"/>
          <w:szCs w:val="22"/>
        </w:rPr>
        <w:t xml:space="preserve"> neratinib in extended adjuvant HER2-positive early stage breast cancer in the first quarter of 2018; and (iii) reporting Phase III trial results in third-line HER2- positive metastatic breast cancer patients in the first half of 2018.” </w:t>
      </w:r>
    </w:p>
    <w:p w14:paraId="47B52B8A" w14:textId="77777777" w:rsidR="00E9097F" w:rsidRDefault="00395E48">
      <w:pPr>
        <w:pStyle w:val="NormalWeb"/>
        <w:spacing w:before="0" w:beforeAutospacing="0" w:after="0" w:afterAutospacing="0"/>
        <w:jc w:val="both"/>
        <w:rPr>
          <w:b/>
          <w:bCs/>
          <w:color w:val="000000"/>
          <w:sz w:val="22"/>
          <w:szCs w:val="22"/>
        </w:rPr>
      </w:pPr>
      <w:r>
        <w:rPr>
          <w:b/>
          <w:bCs/>
          <w:color w:val="000000"/>
          <w:sz w:val="22"/>
          <w:szCs w:val="22"/>
        </w:rPr>
        <w:t xml:space="preserve">Product Revenue  </w:t>
      </w:r>
    </w:p>
    <w:p w14:paraId="0C542F71" w14:textId="77777777" w:rsidR="00E9097F" w:rsidRDefault="00096132">
      <w:pPr>
        <w:pStyle w:val="NormalWeb"/>
        <w:spacing w:before="0" w:beforeAutospacing="0" w:after="0" w:afterAutospacing="0"/>
        <w:jc w:val="both"/>
        <w:rPr>
          <w:b/>
          <w:bCs/>
          <w:color w:val="000000"/>
          <w:sz w:val="22"/>
          <w:szCs w:val="22"/>
        </w:rPr>
      </w:pPr>
    </w:p>
    <w:p w14:paraId="14ACC185" w14:textId="77777777" w:rsidR="00E9097F" w:rsidRDefault="00395E48">
      <w:pPr>
        <w:pStyle w:val="NormalWeb"/>
        <w:spacing w:before="0" w:beforeAutospacing="0" w:after="0" w:afterAutospacing="0"/>
        <w:jc w:val="both"/>
        <w:rPr>
          <w:color w:val="000000"/>
          <w:sz w:val="22"/>
          <w:szCs w:val="22"/>
        </w:rPr>
      </w:pPr>
      <w:r>
        <w:rPr>
          <w:color w:val="000000"/>
          <w:sz w:val="22"/>
          <w:szCs w:val="22"/>
        </w:rPr>
        <w:t>Net revenue consists of sales of NERLYNX, Puma’s first and only commercial product to date. The FDA approved NERLYNX in July 2017 and the Company commenced shipment to wholesalers in late July. For the three and nine months ended September 30, 2017, net revenue was approximately $6.1 million.</w:t>
      </w:r>
    </w:p>
    <w:p w14:paraId="4288B906" w14:textId="77777777" w:rsidR="00E9097F" w:rsidRDefault="00096132">
      <w:pPr>
        <w:pStyle w:val="NormalWeb"/>
        <w:spacing w:before="0" w:beforeAutospacing="0" w:after="0" w:afterAutospacing="0"/>
        <w:jc w:val="both"/>
        <w:rPr>
          <w:color w:val="000000"/>
          <w:sz w:val="22"/>
          <w:szCs w:val="22"/>
        </w:rPr>
      </w:pPr>
    </w:p>
    <w:p w14:paraId="122EED61" w14:textId="77777777" w:rsidR="00E9097F" w:rsidRDefault="00395E48">
      <w:pPr>
        <w:pStyle w:val="NormalWeb"/>
        <w:spacing w:before="0" w:beforeAutospacing="0" w:after="0" w:afterAutospacing="0"/>
        <w:jc w:val="both"/>
        <w:rPr>
          <w:b/>
          <w:bCs/>
          <w:color w:val="000000"/>
          <w:sz w:val="22"/>
          <w:szCs w:val="22"/>
        </w:rPr>
      </w:pPr>
      <w:r>
        <w:rPr>
          <w:b/>
          <w:bCs/>
          <w:color w:val="000000"/>
          <w:sz w:val="22"/>
          <w:szCs w:val="22"/>
        </w:rPr>
        <w:t>Operating Expenses</w:t>
      </w:r>
    </w:p>
    <w:p w14:paraId="2D555FAE" w14:textId="77777777" w:rsidR="00E9097F" w:rsidRDefault="00096132">
      <w:pPr>
        <w:pStyle w:val="NormalWeb"/>
        <w:spacing w:before="0" w:beforeAutospacing="0" w:after="0" w:afterAutospacing="0"/>
        <w:jc w:val="both"/>
        <w:rPr>
          <w:color w:val="000000"/>
          <w:sz w:val="22"/>
          <w:szCs w:val="22"/>
        </w:rPr>
      </w:pPr>
    </w:p>
    <w:p w14:paraId="3F446DF4" w14:textId="77777777" w:rsidR="00E9097F" w:rsidRDefault="00395E48">
      <w:pPr>
        <w:pStyle w:val="NormalWeb"/>
        <w:spacing w:before="0" w:beforeAutospacing="0" w:after="0" w:afterAutospacing="0"/>
        <w:jc w:val="both"/>
        <w:rPr>
          <w:color w:val="000000"/>
          <w:sz w:val="22"/>
          <w:szCs w:val="22"/>
        </w:rPr>
      </w:pPr>
      <w:r>
        <w:rPr>
          <w:color w:val="000000"/>
          <w:sz w:val="22"/>
          <w:szCs w:val="22"/>
        </w:rPr>
        <w:t>Operating expenses were $83.5 million for the third quarter of 2017, compared to $66.0 million for the third quarter of 2016. Operating expenses for the nine months ended September 30, 2017 were $</w:t>
      </w:r>
      <w:r w:rsidR="00E461DB">
        <w:rPr>
          <w:color w:val="000000"/>
          <w:sz w:val="22"/>
          <w:szCs w:val="22"/>
        </w:rPr>
        <w:t>234.9</w:t>
      </w:r>
      <w:r>
        <w:rPr>
          <w:color w:val="000000"/>
          <w:sz w:val="22"/>
          <w:szCs w:val="22"/>
        </w:rPr>
        <w:t xml:space="preserve"> million, compared to $203.7 million for the nine months ended September 30, 2016.</w:t>
      </w:r>
    </w:p>
    <w:p w14:paraId="3F3AF804" w14:textId="77777777" w:rsidR="00E9097F" w:rsidRDefault="00096132">
      <w:pPr>
        <w:pStyle w:val="NormalWeb"/>
        <w:spacing w:before="0" w:beforeAutospacing="0" w:after="0" w:afterAutospacing="0"/>
        <w:jc w:val="both"/>
        <w:rPr>
          <w:color w:val="000000"/>
          <w:sz w:val="22"/>
          <w:szCs w:val="22"/>
        </w:rPr>
      </w:pPr>
    </w:p>
    <w:p w14:paraId="54498B24" w14:textId="77777777" w:rsidR="00E9097F" w:rsidRDefault="00395E48">
      <w:pPr>
        <w:pStyle w:val="NormalWeb"/>
        <w:spacing w:before="0" w:beforeAutospacing="0" w:after="0" w:afterAutospacing="0"/>
        <w:jc w:val="both"/>
        <w:rPr>
          <w:i/>
          <w:iCs/>
          <w:color w:val="000000"/>
          <w:sz w:val="22"/>
          <w:szCs w:val="22"/>
        </w:rPr>
      </w:pPr>
      <w:r>
        <w:rPr>
          <w:i/>
          <w:iCs/>
          <w:color w:val="000000"/>
          <w:sz w:val="22"/>
          <w:szCs w:val="22"/>
        </w:rPr>
        <w:t>Cost of Sales:</w:t>
      </w:r>
    </w:p>
    <w:p w14:paraId="246BCE2E" w14:textId="77777777" w:rsidR="00E9097F" w:rsidRDefault="00096132">
      <w:pPr>
        <w:pStyle w:val="NormalWeb"/>
        <w:spacing w:before="0" w:beforeAutospacing="0" w:after="0" w:afterAutospacing="0"/>
        <w:jc w:val="both"/>
        <w:rPr>
          <w:i/>
          <w:iCs/>
          <w:color w:val="000000"/>
          <w:sz w:val="22"/>
          <w:szCs w:val="22"/>
        </w:rPr>
      </w:pPr>
    </w:p>
    <w:p w14:paraId="56D175FA" w14:textId="77777777" w:rsidR="00E9097F" w:rsidRDefault="00395E48">
      <w:pPr>
        <w:pStyle w:val="NormalWeb"/>
        <w:spacing w:before="0" w:beforeAutospacing="0" w:after="0" w:afterAutospacing="0"/>
        <w:jc w:val="both"/>
        <w:rPr>
          <w:iCs/>
          <w:color w:val="000000"/>
          <w:sz w:val="22"/>
          <w:szCs w:val="22"/>
        </w:rPr>
      </w:pPr>
      <w:r>
        <w:rPr>
          <w:iCs/>
          <w:color w:val="000000"/>
          <w:sz w:val="22"/>
          <w:szCs w:val="22"/>
        </w:rPr>
        <w:t>Cost of sales was $1.5 million for the third quarter and nine months ended September 30, 2017. The Company had no product sales prior to the third quarter of 2017.</w:t>
      </w:r>
    </w:p>
    <w:p w14:paraId="3CA7EBA9" w14:textId="77777777" w:rsidR="00E9097F" w:rsidRDefault="00096132">
      <w:pPr>
        <w:pStyle w:val="NormalWeb"/>
        <w:spacing w:before="0" w:beforeAutospacing="0" w:after="0" w:afterAutospacing="0"/>
        <w:jc w:val="both"/>
        <w:rPr>
          <w:i/>
          <w:iCs/>
          <w:color w:val="000000"/>
          <w:sz w:val="22"/>
          <w:szCs w:val="22"/>
        </w:rPr>
      </w:pPr>
    </w:p>
    <w:p w14:paraId="11088532" w14:textId="77777777" w:rsidR="00E9097F" w:rsidRDefault="00395E48">
      <w:pPr>
        <w:pStyle w:val="NormalWeb"/>
        <w:spacing w:before="0" w:beforeAutospacing="0" w:after="0" w:afterAutospacing="0"/>
        <w:jc w:val="both"/>
        <w:rPr>
          <w:b/>
          <w:i/>
          <w:iCs/>
          <w:color w:val="000000"/>
          <w:sz w:val="22"/>
          <w:szCs w:val="22"/>
        </w:rPr>
      </w:pPr>
      <w:r>
        <w:rPr>
          <w:i/>
          <w:iCs/>
          <w:color w:val="000000"/>
          <w:sz w:val="22"/>
          <w:szCs w:val="22"/>
        </w:rPr>
        <w:t>Selling, General and Administrative Expenses</w:t>
      </w:r>
      <w:r>
        <w:rPr>
          <w:b/>
          <w:i/>
          <w:iCs/>
          <w:color w:val="000000"/>
          <w:sz w:val="22"/>
          <w:szCs w:val="22"/>
        </w:rPr>
        <w:t>:</w:t>
      </w:r>
    </w:p>
    <w:p w14:paraId="0EEA77A1" w14:textId="77777777" w:rsidR="00E9097F" w:rsidRDefault="00096132">
      <w:pPr>
        <w:pStyle w:val="NormalWeb"/>
        <w:spacing w:before="0" w:beforeAutospacing="0" w:after="0" w:afterAutospacing="0"/>
        <w:jc w:val="both"/>
        <w:rPr>
          <w:color w:val="000000"/>
          <w:sz w:val="22"/>
          <w:szCs w:val="22"/>
        </w:rPr>
      </w:pPr>
    </w:p>
    <w:p w14:paraId="53FC1243" w14:textId="77777777" w:rsidR="00E9097F" w:rsidRDefault="00395E48">
      <w:pPr>
        <w:pStyle w:val="NormalWeb"/>
        <w:spacing w:before="0" w:beforeAutospacing="0" w:after="0" w:afterAutospacing="0"/>
        <w:jc w:val="both"/>
        <w:rPr>
          <w:color w:val="000000"/>
          <w:sz w:val="22"/>
          <w:szCs w:val="22"/>
        </w:rPr>
      </w:pPr>
      <w:r>
        <w:rPr>
          <w:color w:val="000000"/>
          <w:sz w:val="22"/>
          <w:szCs w:val="22"/>
        </w:rPr>
        <w:t>Selling, general and administrative (SG&amp;A) expenses were $32.5 million for the third quarter of 2017, compared to $14.0 million for the third quarter of 2016. SG&amp;A expenses for the nine months ended September 30, 2017 were $75.8 million, compared to $37.3 million for the nine months ended September 30, 2016.  The $38.5 million increase during the first nine months of 2017, compared to the first nine months of 2016, resulted primarily from increases of approximately $24.2 million for professional fees and expenses, $8.2 million in payroll and related costs, $3.2 million for stock-based compensation, $2.4 million for other expenses such as travel and related costs to support the commercial launch of NERLYNX, and $0.4 million for facility and equipment costs. These increases reflect overall corporate growth.</w:t>
      </w:r>
    </w:p>
    <w:p w14:paraId="085565B7" w14:textId="77777777" w:rsidR="00E9097F" w:rsidRDefault="00096132">
      <w:pPr>
        <w:pStyle w:val="NormalWeb"/>
        <w:spacing w:before="0" w:beforeAutospacing="0" w:after="0" w:afterAutospacing="0"/>
        <w:jc w:val="both"/>
        <w:rPr>
          <w:color w:val="000000"/>
          <w:sz w:val="22"/>
          <w:szCs w:val="22"/>
        </w:rPr>
      </w:pPr>
    </w:p>
    <w:p w14:paraId="4F2BDAFF" w14:textId="77777777" w:rsidR="00E9097F" w:rsidRDefault="00395E48">
      <w:pPr>
        <w:pStyle w:val="NormalWeb"/>
        <w:spacing w:before="0" w:beforeAutospacing="0" w:after="0" w:afterAutospacing="0"/>
        <w:jc w:val="both"/>
        <w:rPr>
          <w:i/>
          <w:iCs/>
          <w:color w:val="000000"/>
          <w:sz w:val="22"/>
          <w:szCs w:val="22"/>
        </w:rPr>
      </w:pPr>
      <w:r>
        <w:rPr>
          <w:i/>
          <w:iCs/>
          <w:color w:val="000000"/>
          <w:sz w:val="22"/>
          <w:szCs w:val="22"/>
        </w:rPr>
        <w:t>Research and Development Expenses:</w:t>
      </w:r>
    </w:p>
    <w:p w14:paraId="607D4758" w14:textId="77777777" w:rsidR="00E9097F" w:rsidRDefault="00096132">
      <w:pPr>
        <w:pStyle w:val="NormalWeb"/>
        <w:spacing w:before="0" w:beforeAutospacing="0" w:after="0" w:afterAutospacing="0"/>
        <w:jc w:val="both"/>
        <w:rPr>
          <w:color w:val="000000"/>
          <w:sz w:val="22"/>
          <w:szCs w:val="22"/>
        </w:rPr>
      </w:pPr>
    </w:p>
    <w:p w14:paraId="4126EB96" w14:textId="77777777" w:rsidR="00E9097F" w:rsidRDefault="00395E48">
      <w:pPr>
        <w:pStyle w:val="NormalWeb"/>
        <w:spacing w:before="0" w:beforeAutospacing="0" w:after="0" w:afterAutospacing="0"/>
        <w:jc w:val="both"/>
        <w:rPr>
          <w:color w:val="000000"/>
          <w:sz w:val="22"/>
          <w:szCs w:val="22"/>
        </w:rPr>
      </w:pPr>
      <w:r>
        <w:rPr>
          <w:color w:val="000000"/>
          <w:sz w:val="22"/>
          <w:szCs w:val="22"/>
        </w:rPr>
        <w:t xml:space="preserve">Research and development (R&amp;D) expenses were $49.5 million for the third quarter of 2017, compared to $52.0 million for the third quarter of 2016. R&amp;D expenses for the nine months ended September 30, 2017 were $157.6 </w:t>
      </w:r>
      <w:r w:rsidRPr="00F51AB3">
        <w:rPr>
          <w:color w:val="000000"/>
          <w:sz w:val="22"/>
          <w:szCs w:val="22"/>
        </w:rPr>
        <w:t>million, compared to $166.4 million for the nine months ended September 30, 2016. The approximately $8.8 million decrease</w:t>
      </w:r>
      <w:r>
        <w:rPr>
          <w:color w:val="000000"/>
          <w:sz w:val="22"/>
          <w:szCs w:val="22"/>
        </w:rPr>
        <w:t xml:space="preserve"> during the first nine months of 2017, compared to the first nine months of 2016,</w:t>
      </w:r>
      <w:r w:rsidRPr="00F51AB3">
        <w:rPr>
          <w:color w:val="000000"/>
          <w:sz w:val="22"/>
          <w:szCs w:val="22"/>
        </w:rPr>
        <w:t xml:space="preserve"> resulted primarily from decreases of approximately $</w:t>
      </w:r>
      <w:r>
        <w:rPr>
          <w:color w:val="000000"/>
          <w:sz w:val="22"/>
          <w:szCs w:val="22"/>
        </w:rPr>
        <w:t xml:space="preserve">5.0 million due to a decrease in regulatory submission activity, decreased preclinical study activities and decreased drug supply manufacturing logistics, and $8.0 million for stock-based compensation, partially offset by increases during the first nine months of 2017, compared to the first nine months of 2016, of approximately $2.2 million for internal clinical development, internal regulatory affairs and quality assurance and internal chemical manufacturing, and $2.0 million for consultants and contractors. </w:t>
      </w:r>
    </w:p>
    <w:p w14:paraId="0D28B38F" w14:textId="77777777" w:rsidR="00E9097F" w:rsidRDefault="00096132">
      <w:pPr>
        <w:spacing w:after="0" w:line="240" w:lineRule="auto"/>
        <w:jc w:val="both"/>
        <w:rPr>
          <w:rFonts w:ascii="Times New Roman" w:eastAsia="Arial" w:hAnsi="Times New Roman" w:cs="Times New Roman"/>
          <w:b/>
          <w:bCs/>
        </w:rPr>
      </w:pPr>
    </w:p>
    <w:p w14:paraId="6D7D3529" w14:textId="77777777" w:rsidR="00E9097F" w:rsidRDefault="00395E48">
      <w:pPr>
        <w:spacing w:after="0" w:line="240" w:lineRule="auto"/>
        <w:jc w:val="both"/>
        <w:rPr>
          <w:rFonts w:ascii="Times New Roman" w:eastAsia="Arial" w:hAnsi="Times New Roman" w:cs="Times New Roman"/>
          <w:b/>
          <w:bCs/>
        </w:rPr>
      </w:pPr>
      <w:r>
        <w:rPr>
          <w:rFonts w:ascii="Times New Roman" w:eastAsia="Arial" w:hAnsi="Times New Roman" w:cs="Times New Roman"/>
          <w:b/>
          <w:bCs/>
        </w:rPr>
        <w:t>Conference Call</w:t>
      </w:r>
    </w:p>
    <w:p w14:paraId="776D5948" w14:textId="77777777" w:rsidR="00E9097F" w:rsidRDefault="00096132">
      <w:pPr>
        <w:spacing w:after="0" w:line="240" w:lineRule="auto"/>
        <w:jc w:val="both"/>
        <w:rPr>
          <w:rFonts w:ascii="Times New Roman" w:eastAsia="Arial" w:hAnsi="Times New Roman" w:cs="Times New Roman"/>
          <w:b/>
          <w:bCs/>
        </w:rPr>
      </w:pPr>
    </w:p>
    <w:p w14:paraId="390714DF" w14:textId="77777777" w:rsidR="00E9097F" w:rsidRDefault="00395E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Puma Biotechnology will host a conference call </w:t>
      </w:r>
      <w:r>
        <w:rPr>
          <w:rFonts w:ascii="Times New Roman" w:hAnsi="Times New Roman" w:cs="Times New Roman"/>
          <w:color w:val="000000" w:themeColor="text1"/>
        </w:rPr>
        <w:t xml:space="preserve">to report its third quarter financial results and provide an update on the company's business and outlook </w:t>
      </w:r>
      <w:r>
        <w:rPr>
          <w:rFonts w:ascii="Times New Roman" w:eastAsia="Times New Roman" w:hAnsi="Times New Roman" w:cs="Times New Roman"/>
        </w:rPr>
        <w:t xml:space="preserve">at 1:30 p.m. PST/4:30 p.m. EST on Thursday, November 9, </w:t>
      </w:r>
      <w:r>
        <w:rPr>
          <w:rFonts w:ascii="Times New Roman" w:eastAsia="Times New Roman" w:hAnsi="Times New Roman" w:cs="Times New Roman"/>
        </w:rPr>
        <w:lastRenderedPageBreak/>
        <w:t>2017. The call may be accessed by dialing 1-877-709-8150 (domestic) or 1-201-689-8354 (international) at least 10 minutes prior to the start of the call and referencing the “Puma Biotechnology Conference Call.” A live webcast of the conference call and presentation slides may be accessed on the Investors section of the Puma Biotechnology website at</w:t>
      </w:r>
      <w:r>
        <w:t xml:space="preserve"> </w:t>
      </w:r>
      <w:hyperlink r:id="rId6" w:history="1">
        <w:r>
          <w:rPr>
            <w:rStyle w:val="Hyperlink"/>
            <w:rFonts w:ascii="Times New Roman" w:eastAsia="Times New Roman" w:hAnsi="Times New Roman" w:cs="Times New Roman"/>
          </w:rPr>
          <w:t>http://www.pumabiotechnology.com/</w:t>
        </w:r>
      </w:hyperlink>
      <w:r>
        <w:rPr>
          <w:rFonts w:ascii="Times New Roman" w:eastAsia="Times New Roman" w:hAnsi="Times New Roman" w:cs="Times New Roman"/>
        </w:rPr>
        <w:t xml:space="preserve">. A replay of the call will be available approximately one hour after completion of the call and will be archived on the company's website for 90 days. </w:t>
      </w:r>
    </w:p>
    <w:p w14:paraId="5FB87046" w14:textId="77777777" w:rsidR="00E9097F" w:rsidRDefault="00096132">
      <w:pPr>
        <w:spacing w:after="0" w:line="240" w:lineRule="auto"/>
        <w:jc w:val="both"/>
        <w:rPr>
          <w:rFonts w:ascii="Times New Roman" w:eastAsia="Arial" w:hAnsi="Times New Roman" w:cs="Times New Roman"/>
          <w:b/>
          <w:bCs/>
        </w:rPr>
      </w:pPr>
    </w:p>
    <w:p w14:paraId="41B80F49" w14:textId="77777777" w:rsidR="00E9097F" w:rsidRDefault="00395E48">
      <w:pPr>
        <w:spacing w:after="0" w:line="240" w:lineRule="auto"/>
        <w:jc w:val="both"/>
        <w:rPr>
          <w:rFonts w:ascii="Times New Roman" w:eastAsia="Arial" w:hAnsi="Times New Roman" w:cs="Times New Roman"/>
          <w:b/>
          <w:bCs/>
        </w:rPr>
      </w:pPr>
      <w:r>
        <w:rPr>
          <w:rFonts w:ascii="Times New Roman" w:eastAsia="Arial" w:hAnsi="Times New Roman" w:cs="Times New Roman"/>
          <w:b/>
          <w:bCs/>
        </w:rPr>
        <w:t>Ab</w:t>
      </w:r>
      <w:r>
        <w:rPr>
          <w:rFonts w:ascii="Times New Roman" w:eastAsia="Arial" w:hAnsi="Times New Roman" w:cs="Times New Roman"/>
          <w:b/>
          <w:bCs/>
          <w:spacing w:val="-1"/>
        </w:rPr>
        <w:t>o</w:t>
      </w:r>
      <w:r>
        <w:rPr>
          <w:rFonts w:ascii="Times New Roman" w:eastAsia="Arial" w:hAnsi="Times New Roman" w:cs="Times New Roman"/>
          <w:b/>
          <w:bCs/>
        </w:rPr>
        <w:t>ut Puma Biotechnology</w:t>
      </w:r>
    </w:p>
    <w:p w14:paraId="4D2F45E6" w14:textId="77777777" w:rsidR="00E9097F" w:rsidRDefault="00096132">
      <w:pPr>
        <w:spacing w:after="0" w:line="240" w:lineRule="auto"/>
        <w:jc w:val="both"/>
        <w:rPr>
          <w:rFonts w:ascii="Times New Roman" w:hAnsi="Times New Roman" w:cs="Times New Roman"/>
          <w:sz w:val="16"/>
          <w:szCs w:val="16"/>
        </w:rPr>
      </w:pPr>
    </w:p>
    <w:p w14:paraId="2999755A" w14:textId="77777777" w:rsidR="00E9097F" w:rsidRDefault="00395E4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Puma Biotechnology, Inc. is a biopharmaceutical company with a focus on the development and commercialization of innovative products to enhance cancer care.  The Company in-licenses the global development and commercialization rights to three drug candidates — PB272 (neratinib, oral), PB272 (neratinib, intravenous) and PB357. NERLYNX</w:t>
      </w:r>
      <w:r w:rsidRPr="004B6BC5">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rPr>
        <w:t xml:space="preserve"> (neratinib, oral) is approved for commercial use by prescription in the United States as extended adjuvant therapy for early stage HER2-positive breast cancer following adjuvant trastuzumab-based therapy and is marketed as NERLYNX.  Neratinib is a potent irreversible tyrosine kinase inhibitor that blocks signal transduction through the epidermal growth factor receptors, HER1, HER2 and HER4.  Currently, the Company is primarily focused on the commercialization of NERLYNX and the continued development of its other advanced drug candidates directed at the treatment of HER2-positive breast cancer.  The Company believes that NERLYNX has clinical application in the potential treatment of several other cancers that over-express or have a mutation in HER2. </w:t>
      </w:r>
    </w:p>
    <w:p w14:paraId="7F37CDA4" w14:textId="77777777" w:rsidR="00E9097F" w:rsidRDefault="00096132">
      <w:pPr>
        <w:spacing w:after="0" w:line="240" w:lineRule="auto"/>
        <w:jc w:val="both"/>
        <w:rPr>
          <w:rFonts w:ascii="Times New Roman" w:hAnsi="Times New Roman" w:cs="Times New Roman"/>
          <w:sz w:val="16"/>
          <w:szCs w:val="16"/>
        </w:rPr>
      </w:pPr>
    </w:p>
    <w:p w14:paraId="1AD90584" w14:textId="77777777" w:rsidR="00E9097F" w:rsidRDefault="00395E48">
      <w:pPr>
        <w:spacing w:after="0" w:line="240" w:lineRule="auto"/>
        <w:jc w:val="both"/>
        <w:rPr>
          <w:rFonts w:ascii="Times New Roman" w:eastAsia="Times New Roman" w:hAnsi="Times New Roman" w:cs="Times New Roman"/>
          <w:color w:val="000000"/>
          <w:position w:val="-1"/>
        </w:rPr>
      </w:pPr>
      <w:r>
        <w:rPr>
          <w:rFonts w:ascii="Times New Roman" w:eastAsia="Times New Roman" w:hAnsi="Times New Roman" w:cs="Times New Roman"/>
          <w:position w:val="-1"/>
        </w:rPr>
        <w:t>Further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infor</w:t>
      </w:r>
      <w:r>
        <w:rPr>
          <w:rFonts w:ascii="Times New Roman" w:eastAsia="Times New Roman" w:hAnsi="Times New Roman" w:cs="Times New Roman"/>
          <w:spacing w:val="-2"/>
          <w:position w:val="-1"/>
        </w:rPr>
        <w:t>m</w:t>
      </w:r>
      <w:r>
        <w:rPr>
          <w:rFonts w:ascii="Times New Roman" w:eastAsia="Times New Roman" w:hAnsi="Times New Roman" w:cs="Times New Roman"/>
          <w:position w:val="-1"/>
        </w:rPr>
        <w:t>ation about Pu</w:t>
      </w:r>
      <w:r>
        <w:rPr>
          <w:rFonts w:ascii="Times New Roman" w:eastAsia="Times New Roman" w:hAnsi="Times New Roman" w:cs="Times New Roman"/>
          <w:spacing w:val="-2"/>
          <w:position w:val="-1"/>
        </w:rPr>
        <w:t>m</w:t>
      </w:r>
      <w:r>
        <w:rPr>
          <w:rFonts w:ascii="Times New Roman" w:eastAsia="Times New Roman" w:hAnsi="Times New Roman" w:cs="Times New Roman"/>
          <w:position w:val="-1"/>
        </w:rPr>
        <w:t>a Bi</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technology</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may be </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 xml:space="preserve">ound at </w:t>
      </w:r>
      <w:hyperlink r:id="rId7" w:history="1">
        <w:r>
          <w:rPr>
            <w:rStyle w:val="Hyperlink"/>
            <w:rFonts w:ascii="Times New Roman" w:eastAsia="Times New Roman" w:hAnsi="Times New Roman" w:cs="Times New Roman"/>
            <w:position w:val="-1"/>
            <w:u w:color="0000FF"/>
          </w:rPr>
          <w:t>w</w:t>
        </w:r>
        <w:r>
          <w:rPr>
            <w:rStyle w:val="Hyperlink"/>
            <w:rFonts w:ascii="Times New Roman" w:eastAsia="Times New Roman" w:hAnsi="Times New Roman" w:cs="Times New Roman"/>
            <w:spacing w:val="-1"/>
            <w:position w:val="-1"/>
            <w:u w:color="0000FF"/>
          </w:rPr>
          <w:t>w</w:t>
        </w:r>
        <w:r>
          <w:rPr>
            <w:rStyle w:val="Hyperlink"/>
            <w:rFonts w:ascii="Times New Roman" w:eastAsia="Times New Roman" w:hAnsi="Times New Roman" w:cs="Times New Roman"/>
            <w:position w:val="-1"/>
            <w:u w:color="0000FF"/>
          </w:rPr>
          <w:t>w.p</w:t>
        </w:r>
        <w:r>
          <w:rPr>
            <w:rStyle w:val="Hyperlink"/>
            <w:rFonts w:ascii="Times New Roman" w:eastAsia="Times New Roman" w:hAnsi="Times New Roman" w:cs="Times New Roman"/>
            <w:spacing w:val="1"/>
            <w:position w:val="-1"/>
            <w:u w:color="0000FF"/>
          </w:rPr>
          <w:t>u</w:t>
        </w:r>
        <w:r>
          <w:rPr>
            <w:rStyle w:val="Hyperlink"/>
            <w:rFonts w:ascii="Times New Roman" w:eastAsia="Times New Roman" w:hAnsi="Times New Roman" w:cs="Times New Roman"/>
            <w:spacing w:val="-2"/>
            <w:position w:val="-1"/>
            <w:u w:color="0000FF"/>
          </w:rPr>
          <w:t>m</w:t>
        </w:r>
        <w:r>
          <w:rPr>
            <w:rStyle w:val="Hyperlink"/>
            <w:rFonts w:ascii="Times New Roman" w:eastAsia="Times New Roman" w:hAnsi="Times New Roman" w:cs="Times New Roman"/>
            <w:position w:val="-1"/>
            <w:u w:color="0000FF"/>
          </w:rPr>
          <w:t>abiotec</w:t>
        </w:r>
        <w:r>
          <w:rPr>
            <w:rStyle w:val="Hyperlink"/>
            <w:rFonts w:ascii="Times New Roman" w:eastAsia="Times New Roman" w:hAnsi="Times New Roman" w:cs="Times New Roman"/>
            <w:spacing w:val="-1"/>
            <w:position w:val="-1"/>
            <w:u w:color="0000FF"/>
          </w:rPr>
          <w:t>h</w:t>
        </w:r>
        <w:r>
          <w:rPr>
            <w:rStyle w:val="Hyperlink"/>
            <w:rFonts w:ascii="Times New Roman" w:eastAsia="Times New Roman" w:hAnsi="Times New Roman" w:cs="Times New Roman"/>
            <w:position w:val="-1"/>
            <w:u w:color="0000FF"/>
          </w:rPr>
          <w:t>nology.co</w:t>
        </w:r>
        <w:r>
          <w:rPr>
            <w:rStyle w:val="Hyperlink"/>
            <w:rFonts w:ascii="Times New Roman" w:eastAsia="Times New Roman" w:hAnsi="Times New Roman" w:cs="Times New Roman"/>
            <w:spacing w:val="-1"/>
            <w:position w:val="-1"/>
            <w:u w:color="0000FF"/>
          </w:rPr>
          <w:t>m</w:t>
        </w:r>
      </w:hyperlink>
      <w:r>
        <w:rPr>
          <w:rFonts w:ascii="Times New Roman" w:eastAsia="Times New Roman" w:hAnsi="Times New Roman" w:cs="Times New Roman"/>
          <w:color w:val="000000"/>
          <w:position w:val="-1"/>
        </w:rPr>
        <w:t>.</w:t>
      </w:r>
    </w:p>
    <w:p w14:paraId="12B55307" w14:textId="77777777" w:rsidR="00E9097F" w:rsidRDefault="00096132">
      <w:pPr>
        <w:spacing w:after="0" w:line="240" w:lineRule="auto"/>
        <w:jc w:val="both"/>
        <w:rPr>
          <w:rFonts w:ascii="Times New Roman" w:eastAsia="Times New Roman" w:hAnsi="Times New Roman" w:cs="Times New Roman"/>
          <w:color w:val="000000"/>
          <w:position w:val="-1"/>
        </w:rPr>
      </w:pPr>
    </w:p>
    <w:p w14:paraId="513EDE40" w14:textId="77777777" w:rsidR="00E9097F" w:rsidRDefault="00395E48">
      <w:pPr>
        <w:spacing w:after="0" w:line="240" w:lineRule="auto"/>
        <w:jc w:val="both"/>
        <w:rPr>
          <w:rFonts w:ascii="Times New Roman" w:hAnsi="Times New Roman" w:cs="Times New Roman"/>
          <w:b/>
        </w:rPr>
      </w:pPr>
      <w:r>
        <w:rPr>
          <w:rFonts w:ascii="Times New Roman" w:hAnsi="Times New Roman" w:cs="Times New Roman"/>
          <w:b/>
        </w:rPr>
        <w:t>IMPORTANT SAFETY INFORMATION</w:t>
      </w:r>
    </w:p>
    <w:p w14:paraId="73E12B9E" w14:textId="77777777" w:rsidR="00E9097F" w:rsidRDefault="00096132">
      <w:pPr>
        <w:spacing w:after="0" w:line="240" w:lineRule="auto"/>
        <w:jc w:val="both"/>
        <w:rPr>
          <w:rFonts w:ascii="Times New Roman" w:hAnsi="Times New Roman" w:cs="Times New Roman"/>
        </w:rPr>
      </w:pPr>
    </w:p>
    <w:p w14:paraId="20533B98" w14:textId="77777777" w:rsidR="00E9097F" w:rsidRDefault="00395E48">
      <w:pPr>
        <w:spacing w:after="0" w:line="240" w:lineRule="auto"/>
        <w:jc w:val="both"/>
        <w:rPr>
          <w:rFonts w:ascii="Times New Roman" w:hAnsi="Times New Roman" w:cs="Times New Roman"/>
        </w:rPr>
      </w:pPr>
      <w:r>
        <w:rPr>
          <w:rFonts w:ascii="Times New Roman" w:hAnsi="Times New Roman" w:cs="Times New Roman"/>
          <w:b/>
          <w:bCs/>
        </w:rPr>
        <w:t>NERLYNX</w:t>
      </w:r>
      <w:r w:rsidRPr="004B6BC5">
        <w:rPr>
          <w:rFonts w:ascii="Times New Roman" w:hAnsi="Times New Roman" w:cs="Times New Roman"/>
          <w:b/>
          <w:bCs/>
          <w:sz w:val="24"/>
          <w:szCs w:val="24"/>
          <w:vertAlign w:val="superscript"/>
        </w:rPr>
        <w:t>®</w:t>
      </w:r>
      <w:r>
        <w:rPr>
          <w:rFonts w:ascii="Times New Roman" w:hAnsi="Times New Roman" w:cs="Times New Roman"/>
          <w:b/>
          <w:bCs/>
        </w:rPr>
        <w:t xml:space="preserve"> (neratinib) tablets, for oral use</w:t>
      </w:r>
    </w:p>
    <w:p w14:paraId="3421FEFA" w14:textId="77777777" w:rsidR="00E9097F" w:rsidRDefault="00096132">
      <w:pPr>
        <w:spacing w:after="0" w:line="240" w:lineRule="auto"/>
        <w:jc w:val="both"/>
        <w:rPr>
          <w:rFonts w:ascii="Times New Roman" w:hAnsi="Times New Roman" w:cs="Times New Roman"/>
        </w:rPr>
      </w:pPr>
    </w:p>
    <w:p w14:paraId="173F7E9C" w14:textId="77777777" w:rsidR="00E9097F" w:rsidRDefault="00395E48">
      <w:pPr>
        <w:spacing w:after="0" w:line="240" w:lineRule="auto"/>
        <w:jc w:val="both"/>
        <w:rPr>
          <w:rFonts w:ascii="Times New Roman" w:hAnsi="Times New Roman" w:cs="Times New Roman"/>
          <w:color w:val="000000"/>
        </w:rPr>
      </w:pPr>
      <w:r>
        <w:rPr>
          <w:rFonts w:ascii="Times New Roman" w:hAnsi="Times New Roman" w:cs="Times New Roman"/>
          <w:b/>
          <w:color w:val="000000"/>
        </w:rPr>
        <w:t>INDICATIONS AND USAGE:</w:t>
      </w:r>
      <w:r>
        <w:rPr>
          <w:rFonts w:ascii="Times New Roman" w:hAnsi="Times New Roman" w:cs="Times New Roman"/>
          <w:color w:val="000000"/>
        </w:rPr>
        <w:t xml:space="preserve">  NERLYNX is a kinase inhibitor indicated for the extended adjuvant treatment of adult patients with early stage HER2 overexpressed/amplified breast cancer, to follow adjuvant trastuzumab-based therapy.</w:t>
      </w:r>
    </w:p>
    <w:p w14:paraId="79E8EC94" w14:textId="77777777" w:rsidR="00E9097F" w:rsidRDefault="00096132">
      <w:pPr>
        <w:spacing w:after="0" w:line="240" w:lineRule="auto"/>
        <w:jc w:val="both"/>
        <w:rPr>
          <w:rFonts w:ascii="Times New Roman" w:hAnsi="Times New Roman" w:cs="Times New Roman"/>
          <w:color w:val="000000"/>
        </w:rPr>
      </w:pPr>
    </w:p>
    <w:p w14:paraId="77C8D5A9" w14:textId="77777777" w:rsidR="00E9097F" w:rsidRDefault="00395E48">
      <w:pPr>
        <w:spacing w:after="0" w:line="240" w:lineRule="auto"/>
        <w:jc w:val="both"/>
        <w:rPr>
          <w:rFonts w:ascii="Times New Roman" w:hAnsi="Times New Roman" w:cs="Times New Roman"/>
          <w:color w:val="000000"/>
        </w:rPr>
      </w:pPr>
      <w:r>
        <w:rPr>
          <w:rFonts w:ascii="Times New Roman" w:hAnsi="Times New Roman" w:cs="Times New Roman"/>
          <w:b/>
          <w:color w:val="000000"/>
        </w:rPr>
        <w:t>CONTRAINDICATIONS:</w:t>
      </w:r>
      <w:r>
        <w:rPr>
          <w:rFonts w:ascii="Times New Roman" w:hAnsi="Times New Roman" w:cs="Times New Roman"/>
          <w:color w:val="000000"/>
        </w:rPr>
        <w:t xml:space="preserve">  None</w:t>
      </w:r>
    </w:p>
    <w:p w14:paraId="6EB9A3CF" w14:textId="77777777" w:rsidR="00E9097F" w:rsidRDefault="00096132">
      <w:pPr>
        <w:spacing w:after="0" w:line="240" w:lineRule="auto"/>
        <w:jc w:val="both"/>
        <w:rPr>
          <w:rFonts w:ascii="Times New Roman" w:hAnsi="Times New Roman" w:cs="Times New Roman"/>
          <w:color w:val="000000"/>
        </w:rPr>
      </w:pPr>
    </w:p>
    <w:p w14:paraId="62CE404C" w14:textId="77777777" w:rsidR="00E9097F" w:rsidRDefault="00395E48">
      <w:pPr>
        <w:spacing w:after="0" w:line="240" w:lineRule="auto"/>
        <w:jc w:val="both"/>
        <w:rPr>
          <w:rFonts w:ascii="Times New Roman" w:hAnsi="Times New Roman" w:cs="Times New Roman"/>
          <w:b/>
          <w:color w:val="000000"/>
        </w:rPr>
      </w:pPr>
      <w:r>
        <w:rPr>
          <w:rFonts w:ascii="Times New Roman" w:hAnsi="Times New Roman" w:cs="Times New Roman"/>
          <w:b/>
          <w:color w:val="000000"/>
        </w:rPr>
        <w:t>WARNINGS AND PRECAUTIONS:</w:t>
      </w:r>
    </w:p>
    <w:p w14:paraId="1D858671" w14:textId="77777777" w:rsidR="00E9097F" w:rsidRDefault="00395E48">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Diarrhea:</w:t>
      </w:r>
      <w:r>
        <w:rPr>
          <w:rFonts w:ascii="Times New Roman" w:hAnsi="Times New Roman" w:cs="Times New Roman"/>
          <w:color w:val="000000"/>
        </w:rPr>
        <w:t xml:space="preserve"> Aggressively manage diarrhea occurring despite recommended prophylaxis with additional </w:t>
      </w:r>
      <w:proofErr w:type="spellStart"/>
      <w:r>
        <w:rPr>
          <w:rFonts w:ascii="Times New Roman" w:hAnsi="Times New Roman" w:cs="Times New Roman"/>
          <w:color w:val="000000"/>
        </w:rPr>
        <w:t>antidiarrheals</w:t>
      </w:r>
      <w:proofErr w:type="spellEnd"/>
      <w:r>
        <w:rPr>
          <w:rFonts w:ascii="Times New Roman" w:hAnsi="Times New Roman" w:cs="Times New Roman"/>
          <w:color w:val="000000"/>
        </w:rPr>
        <w:t>, fluids, and electrolytes as clinically indicated.  Withhold NERLYNX in patients experiencing severe and/or persistent diarrhea.  Permanently discontinue NERLYNX in patients experiencing Grade 4 diarrhea or Grade ≥ 2 diarrhea that occurs after maximal dose reduction.</w:t>
      </w:r>
    </w:p>
    <w:p w14:paraId="268366EF" w14:textId="77777777" w:rsidR="00E9097F" w:rsidRDefault="00096132">
      <w:pPr>
        <w:spacing w:after="0" w:line="240" w:lineRule="auto"/>
        <w:jc w:val="both"/>
        <w:rPr>
          <w:rFonts w:ascii="Times New Roman" w:hAnsi="Times New Roman" w:cs="Times New Roman"/>
          <w:color w:val="000000"/>
        </w:rPr>
      </w:pPr>
    </w:p>
    <w:p w14:paraId="1A10960D" w14:textId="77777777" w:rsidR="00E9097F" w:rsidRDefault="00395E48">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Hepatotoxicity:</w:t>
      </w:r>
      <w:r>
        <w:rPr>
          <w:rFonts w:ascii="Times New Roman" w:hAnsi="Times New Roman" w:cs="Times New Roman"/>
          <w:color w:val="000000"/>
        </w:rPr>
        <w:t xml:space="preserve"> Monitor liver function tests monthly for the first 3 months of treatment, then every </w:t>
      </w:r>
    </w:p>
    <w:p w14:paraId="09591F2F" w14:textId="77777777" w:rsidR="00E9097F" w:rsidRDefault="00395E48">
      <w:pPr>
        <w:spacing w:after="0" w:line="240" w:lineRule="auto"/>
        <w:jc w:val="both"/>
        <w:rPr>
          <w:rFonts w:ascii="Times New Roman" w:hAnsi="Times New Roman" w:cs="Times New Roman"/>
          <w:color w:val="000000"/>
        </w:rPr>
      </w:pPr>
      <w:r>
        <w:rPr>
          <w:rFonts w:ascii="Times New Roman" w:hAnsi="Times New Roman" w:cs="Times New Roman"/>
          <w:color w:val="000000"/>
        </w:rPr>
        <w:t>3 months while on treatment and as clinically indicated.  Withhold NERLYNX in patients experiencing Grade 3 liver abnormalities and permanently discontinue NERLYNX in patients experiencing Grade 4 liver abnormalities.</w:t>
      </w:r>
    </w:p>
    <w:p w14:paraId="3B0DF2DD" w14:textId="77777777" w:rsidR="00E9097F" w:rsidRDefault="00096132">
      <w:pPr>
        <w:spacing w:after="0" w:line="240" w:lineRule="auto"/>
        <w:jc w:val="both"/>
        <w:rPr>
          <w:rFonts w:ascii="Times New Roman" w:hAnsi="Times New Roman" w:cs="Times New Roman"/>
          <w:color w:val="000000"/>
        </w:rPr>
      </w:pPr>
    </w:p>
    <w:p w14:paraId="212AE93F" w14:textId="77777777" w:rsidR="00E9097F" w:rsidRDefault="00395E48">
      <w:pPr>
        <w:spacing w:after="0" w:line="240" w:lineRule="auto"/>
        <w:jc w:val="both"/>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b/>
          <w:color w:val="000000"/>
        </w:rPr>
        <w:t>Embryo-Fetal Toxicity:</w:t>
      </w:r>
      <w:r>
        <w:rPr>
          <w:rFonts w:ascii="Times New Roman" w:hAnsi="Times New Roman" w:cs="Times New Roman"/>
          <w:color w:val="000000"/>
        </w:rPr>
        <w:t xml:space="preserve"> NERLYNX can cause fetal harm.  Advise patients of potential risk to a fetus and to use effective contraception.</w:t>
      </w:r>
    </w:p>
    <w:p w14:paraId="0642CB04" w14:textId="77777777" w:rsidR="00E9097F" w:rsidRDefault="00096132">
      <w:pPr>
        <w:spacing w:after="0" w:line="240" w:lineRule="auto"/>
        <w:jc w:val="both"/>
        <w:rPr>
          <w:rFonts w:ascii="Times New Roman" w:hAnsi="Times New Roman" w:cs="Times New Roman"/>
        </w:rPr>
      </w:pPr>
    </w:p>
    <w:p w14:paraId="4B73039D" w14:textId="77777777" w:rsidR="00E9097F" w:rsidRDefault="00395E48">
      <w:pPr>
        <w:spacing w:after="0" w:line="240" w:lineRule="auto"/>
        <w:jc w:val="both"/>
        <w:rPr>
          <w:rFonts w:ascii="Times New Roman" w:hAnsi="Times New Roman" w:cs="Times New Roman"/>
          <w:b/>
        </w:rPr>
      </w:pPr>
      <w:r>
        <w:rPr>
          <w:rFonts w:ascii="Times New Roman" w:hAnsi="Times New Roman" w:cs="Times New Roman"/>
          <w:b/>
        </w:rPr>
        <w:t xml:space="preserve">ADVERSE REACTIONS: </w:t>
      </w:r>
      <w:r>
        <w:rPr>
          <w:rFonts w:ascii="Times New Roman" w:hAnsi="Times New Roman" w:cs="Times New Roman"/>
        </w:rPr>
        <w:t>The most common adverse reactions (≥ 5%) were diarrhea, nausea,   abdominal pain, fatigue, vomiting, rash, stomatitis, decreased appetite, muscle spasms, dyspepsia, AST or ALT increase, nail disorder, dry skin, abdominal distention, epistaxis, weight decreased and urinary tract infection.</w:t>
      </w:r>
    </w:p>
    <w:p w14:paraId="165E697E" w14:textId="77777777" w:rsidR="00E9097F" w:rsidRDefault="00096132">
      <w:pPr>
        <w:spacing w:after="0" w:line="240" w:lineRule="auto"/>
        <w:jc w:val="both"/>
        <w:rPr>
          <w:rFonts w:ascii="Times New Roman" w:hAnsi="Times New Roman" w:cs="Times New Roman"/>
        </w:rPr>
      </w:pPr>
    </w:p>
    <w:p w14:paraId="3F01B6E1" w14:textId="77777777" w:rsidR="00E9097F" w:rsidRDefault="00395E48">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To report SUSPECTED ADVERSE REACTIONS, contact Puma Biotechnology, Inc. at </w:t>
      </w:r>
    </w:p>
    <w:p w14:paraId="3FD1A0BE" w14:textId="77777777" w:rsidR="00E9097F" w:rsidRDefault="00395E48">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 xml:space="preserve">1-844-NERLYNX (1-844-637-5969) and www.NERLYNX.com or FDA at 1-800-FDA-1088 or </w:t>
      </w:r>
      <w:r>
        <w:rPr>
          <w:rFonts w:ascii="Times New Roman" w:hAnsi="Times New Roman" w:cs="Times New Roman"/>
          <w:b/>
          <w:bCs/>
          <w:i/>
          <w:iCs/>
          <w:color w:val="000000"/>
        </w:rPr>
        <w:t>www.fda.gov/medwatch</w:t>
      </w:r>
      <w:r>
        <w:rPr>
          <w:rFonts w:ascii="Times New Roman" w:hAnsi="Times New Roman" w:cs="Times New Roman"/>
          <w:b/>
          <w:bCs/>
          <w:color w:val="000000"/>
        </w:rPr>
        <w:t>.</w:t>
      </w:r>
    </w:p>
    <w:p w14:paraId="68106C0B" w14:textId="77777777" w:rsidR="00E9097F" w:rsidRDefault="00096132">
      <w:pPr>
        <w:spacing w:after="0" w:line="240" w:lineRule="auto"/>
        <w:jc w:val="both"/>
        <w:rPr>
          <w:rFonts w:ascii="Times New Roman" w:hAnsi="Times New Roman" w:cs="Times New Roman"/>
          <w:b/>
          <w:bCs/>
          <w:color w:val="000000"/>
        </w:rPr>
      </w:pPr>
    </w:p>
    <w:p w14:paraId="590DC5B9" w14:textId="77777777" w:rsidR="00E9097F" w:rsidRDefault="00395E48">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lastRenderedPageBreak/>
        <w:t>DRUG INTERACTIONS:</w:t>
      </w:r>
    </w:p>
    <w:p w14:paraId="00674159" w14:textId="77777777" w:rsidR="00E9097F" w:rsidRDefault="00395E48">
      <w:pPr>
        <w:pStyle w:val="ListParagraph"/>
        <w:numPr>
          <w:ilvl w:val="0"/>
          <w:numId w:val="1"/>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Gastric acid reducing agents:  Avoid concomitant use with proton pump inhibitors (PPI) and H2-receptor antagonists.  Separate NERLYNX by 3 hours after antacid dosing.</w:t>
      </w:r>
    </w:p>
    <w:p w14:paraId="14429F78" w14:textId="77777777" w:rsidR="00E9097F" w:rsidRDefault="00395E48">
      <w:pPr>
        <w:pStyle w:val="ListParagraph"/>
        <w:numPr>
          <w:ilvl w:val="0"/>
          <w:numId w:val="1"/>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Strong or moderate CYP3A4 inhibitors:  Avoid concomitant use. </w:t>
      </w:r>
    </w:p>
    <w:p w14:paraId="5AEC718C" w14:textId="77777777" w:rsidR="00E9097F" w:rsidRDefault="00395E48">
      <w:pPr>
        <w:pStyle w:val="ListParagraph"/>
        <w:numPr>
          <w:ilvl w:val="0"/>
          <w:numId w:val="1"/>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Strong or moderate CYP3A4 inducers:  Avoid concomitant use.</w:t>
      </w:r>
    </w:p>
    <w:p w14:paraId="3BCCDD7C" w14:textId="77777777" w:rsidR="00E9097F" w:rsidRDefault="00395E48">
      <w:pPr>
        <w:pStyle w:val="ListParagraph"/>
        <w:numPr>
          <w:ilvl w:val="0"/>
          <w:numId w:val="1"/>
        </w:num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P-glycoprotein (P-</w:t>
      </w:r>
      <w:proofErr w:type="spellStart"/>
      <w:r>
        <w:rPr>
          <w:rFonts w:ascii="Times New Roman" w:hAnsi="Times New Roman" w:cs="Times New Roman"/>
          <w:bCs/>
          <w:color w:val="000000"/>
        </w:rPr>
        <w:t>gp</w:t>
      </w:r>
      <w:proofErr w:type="spellEnd"/>
      <w:r>
        <w:rPr>
          <w:rFonts w:ascii="Times New Roman" w:hAnsi="Times New Roman" w:cs="Times New Roman"/>
          <w:bCs/>
          <w:color w:val="000000"/>
        </w:rPr>
        <w:t>) substrates:  Monitor for adverse reactions of narrow therapeutic agents that are P-</w:t>
      </w:r>
      <w:proofErr w:type="spellStart"/>
      <w:r>
        <w:rPr>
          <w:rFonts w:ascii="Times New Roman" w:hAnsi="Times New Roman" w:cs="Times New Roman"/>
          <w:bCs/>
          <w:color w:val="000000"/>
        </w:rPr>
        <w:t>gp</w:t>
      </w:r>
      <w:proofErr w:type="spellEnd"/>
      <w:r>
        <w:rPr>
          <w:rFonts w:ascii="Times New Roman" w:hAnsi="Times New Roman" w:cs="Times New Roman"/>
          <w:bCs/>
          <w:color w:val="000000"/>
        </w:rPr>
        <w:t xml:space="preserve"> substrates when used concomitantly with NERLYNX. </w:t>
      </w:r>
    </w:p>
    <w:p w14:paraId="3D59B0FE" w14:textId="77777777" w:rsidR="00E9097F" w:rsidRDefault="00096132">
      <w:pPr>
        <w:spacing w:after="0" w:line="240" w:lineRule="auto"/>
        <w:jc w:val="both"/>
        <w:rPr>
          <w:rFonts w:ascii="Times New Roman" w:hAnsi="Times New Roman" w:cs="Times New Roman"/>
          <w:bCs/>
          <w:color w:val="000000"/>
        </w:rPr>
      </w:pPr>
    </w:p>
    <w:p w14:paraId="34E7DD09" w14:textId="77777777" w:rsidR="00E9097F" w:rsidRDefault="00395E48">
      <w:pPr>
        <w:spacing w:after="0" w:line="240" w:lineRule="auto"/>
        <w:jc w:val="both"/>
        <w:rPr>
          <w:rFonts w:ascii="Times New Roman" w:hAnsi="Times New Roman" w:cs="Times New Roman"/>
          <w:b/>
          <w:bCs/>
          <w:color w:val="000000"/>
        </w:rPr>
      </w:pPr>
      <w:r>
        <w:rPr>
          <w:rFonts w:ascii="Times New Roman" w:hAnsi="Times New Roman" w:cs="Times New Roman"/>
          <w:b/>
          <w:bCs/>
          <w:color w:val="000000"/>
        </w:rPr>
        <w:t>USE IN SPECIFIC POPULATIONS:</w:t>
      </w:r>
    </w:p>
    <w:p w14:paraId="3E17772A" w14:textId="77777777" w:rsidR="00E9097F" w:rsidRDefault="00395E48">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color w:val="000000"/>
        </w:rPr>
        <w:t>Lactation:</w:t>
      </w:r>
      <w:r>
        <w:rPr>
          <w:rFonts w:ascii="Times New Roman" w:hAnsi="Times New Roman" w:cs="Times New Roman"/>
          <w:color w:val="000000"/>
        </w:rPr>
        <w:t xml:space="preserve"> Advise women not to breastfeed. </w:t>
      </w:r>
    </w:p>
    <w:p w14:paraId="25435862" w14:textId="77777777" w:rsidR="00E9097F" w:rsidRDefault="00096132">
      <w:pPr>
        <w:spacing w:after="0" w:line="240" w:lineRule="auto"/>
        <w:jc w:val="both"/>
        <w:rPr>
          <w:rFonts w:ascii="Times New Roman" w:hAnsi="Times New Roman" w:cs="Times New Roman"/>
          <w:color w:val="000000" w:themeColor="text1"/>
        </w:rPr>
      </w:pPr>
    </w:p>
    <w:p w14:paraId="23A25E14" w14:textId="77777777" w:rsidR="00E9097F" w:rsidRDefault="00395E4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Please see </w:t>
      </w:r>
      <w:hyperlink r:id="rId8" w:history="1">
        <w:r>
          <w:rPr>
            <w:rStyle w:val="Hyperlink"/>
            <w:rFonts w:ascii="Times New Roman" w:hAnsi="Times New Roman" w:cs="Times New Roman"/>
          </w:rPr>
          <w:t>Full Prescribing Information</w:t>
        </w:r>
      </w:hyperlink>
      <w:r>
        <w:rPr>
          <w:rFonts w:ascii="Times New Roman" w:hAnsi="Times New Roman" w:cs="Times New Roman"/>
          <w:color w:val="000000" w:themeColor="text1"/>
        </w:rPr>
        <w:t xml:space="preserve"> for additional safety information. </w:t>
      </w:r>
    </w:p>
    <w:p w14:paraId="26FFDAC4" w14:textId="77777777" w:rsidR="00E9097F" w:rsidRDefault="00096132">
      <w:pPr>
        <w:spacing w:after="0" w:line="240" w:lineRule="auto"/>
        <w:rPr>
          <w:rFonts w:ascii="Times New Roman" w:hAnsi="Times New Roman" w:cs="Times New Roman"/>
        </w:rPr>
      </w:pPr>
    </w:p>
    <w:p w14:paraId="40785F34" w14:textId="77777777" w:rsidR="00E9097F" w:rsidRDefault="00395E48">
      <w:pPr>
        <w:spacing w:after="0" w:line="240" w:lineRule="auto"/>
        <w:rPr>
          <w:rFonts w:ascii="Times New Roman" w:eastAsia="Times New Roman" w:hAnsi="Times New Roman" w:cs="Times New Roman"/>
        </w:rPr>
      </w:pPr>
      <w:r>
        <w:rPr>
          <w:rFonts w:ascii="Times New Roman" w:eastAsia="Times New Roman" w:hAnsi="Times New Roman" w:cs="Times New Roman"/>
          <w:b/>
          <w:bCs/>
        </w:rPr>
        <w:t>For</w:t>
      </w:r>
      <w:r>
        <w:rPr>
          <w:rFonts w:ascii="Times New Roman" w:eastAsia="Times New Roman" w:hAnsi="Times New Roman" w:cs="Times New Roman"/>
          <w:b/>
          <w:bCs/>
          <w:spacing w:val="-2"/>
        </w:rPr>
        <w:t>w</w:t>
      </w:r>
      <w:r>
        <w:rPr>
          <w:rFonts w:ascii="Times New Roman" w:eastAsia="Times New Roman" w:hAnsi="Times New Roman" w:cs="Times New Roman"/>
          <w:b/>
          <w:bCs/>
        </w:rPr>
        <w:t>ard-Loo</w:t>
      </w:r>
      <w:r>
        <w:rPr>
          <w:rFonts w:ascii="Times New Roman" w:eastAsia="Times New Roman" w:hAnsi="Times New Roman" w:cs="Times New Roman"/>
          <w:b/>
          <w:bCs/>
          <w:spacing w:val="1"/>
        </w:rPr>
        <w:t>k</w:t>
      </w:r>
      <w:r>
        <w:rPr>
          <w:rFonts w:ascii="Times New Roman" w:eastAsia="Times New Roman" w:hAnsi="Times New Roman" w:cs="Times New Roman"/>
          <w:b/>
          <w:bCs/>
        </w:rPr>
        <w:t>ing Sta</w:t>
      </w:r>
      <w:r>
        <w:rPr>
          <w:rFonts w:ascii="Times New Roman" w:eastAsia="Times New Roman" w:hAnsi="Times New Roman" w:cs="Times New Roman"/>
          <w:b/>
          <w:bCs/>
          <w:spacing w:val="-1"/>
        </w:rPr>
        <w:t>t</w:t>
      </w:r>
      <w:r>
        <w:rPr>
          <w:rFonts w:ascii="Times New Roman" w:eastAsia="Times New Roman" w:hAnsi="Times New Roman" w:cs="Times New Roman"/>
          <w:b/>
          <w:bCs/>
        </w:rPr>
        <w:t>ements</w:t>
      </w:r>
    </w:p>
    <w:p w14:paraId="64E92B19" w14:textId="77777777" w:rsidR="00E9097F" w:rsidRDefault="00096132">
      <w:pPr>
        <w:spacing w:after="0" w:line="240" w:lineRule="auto"/>
        <w:rPr>
          <w:rFonts w:ascii="Times New Roman" w:hAnsi="Times New Roman" w:cs="Times New Roman"/>
          <w:sz w:val="16"/>
          <w:szCs w:val="16"/>
        </w:rPr>
      </w:pPr>
    </w:p>
    <w:p w14:paraId="60275CC9" w14:textId="77777777" w:rsidR="00E9097F" w:rsidRDefault="00395E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This p</w:t>
      </w:r>
      <w:r>
        <w:rPr>
          <w:rFonts w:ascii="Times New Roman" w:eastAsia="Times New Roman" w:hAnsi="Times New Roman" w:cs="Times New Roman"/>
          <w:spacing w:val="1"/>
        </w:rPr>
        <w:t>r</w:t>
      </w:r>
      <w:r>
        <w:rPr>
          <w:rFonts w:ascii="Times New Roman" w:eastAsia="Times New Roman" w:hAnsi="Times New Roman" w:cs="Times New Roman"/>
        </w:rPr>
        <w:t>ess</w:t>
      </w:r>
      <w:r>
        <w:rPr>
          <w:rFonts w:ascii="Times New Roman" w:eastAsia="Times New Roman" w:hAnsi="Times New Roman" w:cs="Times New Roman"/>
          <w:spacing w:val="-1"/>
        </w:rPr>
        <w:t xml:space="preserve"> </w:t>
      </w:r>
      <w:r>
        <w:rPr>
          <w:rFonts w:ascii="Times New Roman" w:eastAsia="Times New Roman" w:hAnsi="Times New Roman" w:cs="Times New Roman"/>
        </w:rPr>
        <w:t>release and the webcast of the presentation</w:t>
      </w:r>
      <w:r>
        <w:rPr>
          <w:rFonts w:ascii="Times New Roman" w:eastAsia="Times New Roman" w:hAnsi="Times New Roman" w:cs="Times New Roman"/>
          <w:spacing w:val="-1"/>
        </w:rPr>
        <w:t xml:space="preserve"> </w:t>
      </w:r>
      <w:r>
        <w:rPr>
          <w:rFonts w:ascii="Times New Roman" w:eastAsia="Times New Roman" w:hAnsi="Times New Roman" w:cs="Times New Roman"/>
        </w:rPr>
        <w:t>cont</w:t>
      </w:r>
      <w:r>
        <w:rPr>
          <w:rFonts w:ascii="Times New Roman" w:eastAsia="Times New Roman" w:hAnsi="Times New Roman" w:cs="Times New Roman"/>
          <w:spacing w:val="-1"/>
        </w:rPr>
        <w:t>a</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rPr>
        <w:t xml:space="preserve"> forwar</w:t>
      </w:r>
      <w:r>
        <w:rPr>
          <w:rFonts w:ascii="Times New Roman" w:eastAsia="Times New Roman" w:hAnsi="Times New Roman" w:cs="Times New Roman"/>
          <w:spacing w:val="2"/>
        </w:rPr>
        <w:t>d</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oking stat</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 xml:space="preserve">ents, including statements regarding the benefits of NERLYNX and neratinib, the Company’s clinical trials and the announcement of data relative to those trials.  All forward-looking statements involve risks and uncertainties that could </w:t>
      </w:r>
      <w:r w:rsidRPr="00AB06FF">
        <w:rPr>
          <w:rFonts w:ascii="Times New Roman" w:eastAsia="Times New Roman" w:hAnsi="Times New Roman" w:cs="Times New Roman"/>
        </w:rPr>
        <w:t>cause</w:t>
      </w:r>
      <w:r>
        <w:rPr>
          <w:rFonts w:ascii="Times New Roman" w:eastAsia="Times New Roman" w:hAnsi="Times New Roman" w:cs="Times New Roman"/>
        </w:rPr>
        <w:t xml:space="preserve"> the Company’s actual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sul</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to d</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f</w:t>
      </w:r>
      <w:r>
        <w:rPr>
          <w:rFonts w:ascii="Times New Roman" w:eastAsia="Times New Roman" w:hAnsi="Times New Roman" w:cs="Times New Roman"/>
        </w:rPr>
        <w:t xml:space="preserve">er </w:t>
      </w:r>
      <w:r>
        <w:rPr>
          <w:rFonts w:ascii="Times New Roman" w:eastAsia="Times New Roman" w:hAnsi="Times New Roman" w:cs="Times New Roman"/>
          <w:spacing w:val="-2"/>
        </w:rPr>
        <w:t>m</w:t>
      </w:r>
      <w:r>
        <w:rPr>
          <w:rFonts w:ascii="Times New Roman" w:eastAsia="Times New Roman" w:hAnsi="Times New Roman" w:cs="Times New Roman"/>
        </w:rPr>
        <w:t>aterially</w:t>
      </w:r>
      <w:r>
        <w:rPr>
          <w:rFonts w:ascii="Times New Roman" w:eastAsia="Times New Roman" w:hAnsi="Times New Roman" w:cs="Times New Roman"/>
          <w:spacing w:val="-1"/>
        </w:rPr>
        <w:t xml:space="preserve"> </w:t>
      </w:r>
      <w:r>
        <w:rPr>
          <w:rFonts w:ascii="Times New Roman" w:eastAsia="Times New Roman" w:hAnsi="Times New Roman" w:cs="Times New Roman"/>
        </w:rPr>
        <w:t>fr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the anticipated res</w:t>
      </w:r>
      <w:r>
        <w:rPr>
          <w:rFonts w:ascii="Times New Roman" w:eastAsia="Times New Roman" w:hAnsi="Times New Roman" w:cs="Times New Roman"/>
          <w:spacing w:val="-1"/>
        </w:rPr>
        <w:t>u</w:t>
      </w:r>
      <w:r>
        <w:rPr>
          <w:rFonts w:ascii="Times New Roman" w:eastAsia="Times New Roman" w:hAnsi="Times New Roman" w:cs="Times New Roman"/>
        </w:rPr>
        <w:t>l</w:t>
      </w:r>
      <w:r>
        <w:rPr>
          <w:rFonts w:ascii="Times New Roman" w:eastAsia="Times New Roman" w:hAnsi="Times New Roman" w:cs="Times New Roman"/>
          <w:spacing w:val="1"/>
        </w:rPr>
        <w:t>t</w:t>
      </w:r>
      <w:r>
        <w:rPr>
          <w:rFonts w:ascii="Times New Roman" w:eastAsia="Times New Roman" w:hAnsi="Times New Roman" w:cs="Times New Roman"/>
        </w:rPr>
        <w:t>s and expectations expres</w:t>
      </w:r>
      <w:r>
        <w:rPr>
          <w:rFonts w:ascii="Times New Roman" w:eastAsia="Times New Roman" w:hAnsi="Times New Roman" w:cs="Times New Roman"/>
          <w:spacing w:val="1"/>
        </w:rPr>
        <w:t>s</w:t>
      </w:r>
      <w:r>
        <w:rPr>
          <w:rFonts w:ascii="Times New Roman" w:eastAsia="Times New Roman" w:hAnsi="Times New Roman" w:cs="Times New Roman"/>
        </w:rPr>
        <w:t>ed</w:t>
      </w:r>
      <w:r>
        <w:rPr>
          <w:rFonts w:ascii="Times New Roman" w:eastAsia="Times New Roman" w:hAnsi="Times New Roman" w:cs="Times New Roman"/>
          <w:spacing w:val="-1"/>
        </w:rPr>
        <w:t xml:space="preserve"> </w:t>
      </w: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these forwar</w:t>
      </w:r>
      <w:r>
        <w:rPr>
          <w:rFonts w:ascii="Times New Roman" w:eastAsia="Times New Roman" w:hAnsi="Times New Roman" w:cs="Times New Roman"/>
          <w:spacing w:val="2"/>
        </w:rPr>
        <w:t>d</w:t>
      </w:r>
      <w:r>
        <w:rPr>
          <w:rFonts w:ascii="Times New Roman" w:eastAsia="Times New Roman" w:hAnsi="Times New Roman" w:cs="Times New Roman"/>
        </w:rPr>
        <w:t>-loo</w:t>
      </w:r>
      <w:r>
        <w:rPr>
          <w:rFonts w:ascii="Times New Roman" w:eastAsia="Times New Roman" w:hAnsi="Times New Roman" w:cs="Times New Roman"/>
          <w:spacing w:val="-1"/>
        </w:rPr>
        <w:t>k</w:t>
      </w:r>
      <w:r>
        <w:rPr>
          <w:rFonts w:ascii="Times New Roman" w:eastAsia="Times New Roman" w:hAnsi="Times New Roman" w:cs="Times New Roman"/>
        </w:rPr>
        <w:t>ing</w:t>
      </w:r>
      <w:r>
        <w:rPr>
          <w:rFonts w:ascii="Times New Roman" w:eastAsia="Times New Roman" w:hAnsi="Times New Roman" w:cs="Times New Roman"/>
          <w:spacing w:val="-1"/>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2"/>
        </w:rPr>
        <w:t>m</w:t>
      </w:r>
      <w:r>
        <w:rPr>
          <w:rFonts w:ascii="Times New Roman" w:eastAsia="Times New Roman" w:hAnsi="Times New Roman" w:cs="Times New Roman"/>
        </w:rPr>
        <w:t>ents.  The</w:t>
      </w:r>
      <w:r>
        <w:rPr>
          <w:rFonts w:ascii="Times New Roman" w:eastAsia="Times New Roman" w:hAnsi="Times New Roman" w:cs="Times New Roman"/>
          <w:spacing w:val="1"/>
        </w:rPr>
        <w:t>s</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rPr>
        <w:t>te</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1"/>
        </w:rPr>
        <w:t xml:space="preserve"> </w:t>
      </w:r>
      <w:r>
        <w:rPr>
          <w:rFonts w:ascii="Times New Roman" w:eastAsia="Times New Roman" w:hAnsi="Times New Roman" w:cs="Times New Roman"/>
        </w:rPr>
        <w:t>are based on curre</w:t>
      </w:r>
      <w:r>
        <w:rPr>
          <w:rFonts w:ascii="Times New Roman" w:eastAsia="Times New Roman" w:hAnsi="Times New Roman" w:cs="Times New Roman"/>
          <w:spacing w:val="-1"/>
        </w:rPr>
        <w:t>n</w:t>
      </w:r>
      <w:r>
        <w:rPr>
          <w:rFonts w:ascii="Times New Roman" w:eastAsia="Times New Roman" w:hAnsi="Times New Roman" w:cs="Times New Roman"/>
        </w:rPr>
        <w:t>t expectations, fo</w:t>
      </w:r>
      <w:r>
        <w:rPr>
          <w:rFonts w:ascii="Times New Roman" w:eastAsia="Times New Roman" w:hAnsi="Times New Roman" w:cs="Times New Roman"/>
          <w:spacing w:val="-1"/>
        </w:rPr>
        <w:t>r</w:t>
      </w:r>
      <w:r>
        <w:rPr>
          <w:rFonts w:ascii="Times New Roman" w:eastAsia="Times New Roman" w:hAnsi="Times New Roman" w:cs="Times New Roman"/>
        </w:rPr>
        <w:t xml:space="preserve">ecasts and </w:t>
      </w:r>
      <w:r>
        <w:rPr>
          <w:rFonts w:ascii="Times New Roman" w:eastAsia="Times New Roman" w:hAnsi="Times New Roman" w:cs="Times New Roman"/>
          <w:spacing w:val="-1"/>
        </w:rPr>
        <w:t>a</w:t>
      </w:r>
      <w:r>
        <w:rPr>
          <w:rFonts w:ascii="Times New Roman" w:eastAsia="Times New Roman" w:hAnsi="Times New Roman" w:cs="Times New Roman"/>
        </w:rPr>
        <w:t>ssu</w:t>
      </w:r>
      <w:r>
        <w:rPr>
          <w:rFonts w:ascii="Times New Roman" w:eastAsia="Times New Roman" w:hAnsi="Times New Roman" w:cs="Times New Roman"/>
          <w:spacing w:val="-1"/>
        </w:rPr>
        <w:t>m</w:t>
      </w:r>
      <w:r>
        <w:rPr>
          <w:rFonts w:ascii="Times New Roman" w:eastAsia="Times New Roman" w:hAnsi="Times New Roman" w:cs="Times New Roman"/>
        </w:rPr>
        <w:t>pt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rPr>
        <w:t>, and</w:t>
      </w:r>
      <w:r>
        <w:rPr>
          <w:rFonts w:ascii="Times New Roman" w:eastAsia="Times New Roman" w:hAnsi="Times New Roman" w:cs="Times New Roman"/>
          <w:spacing w:val="1"/>
        </w:rPr>
        <w:t xml:space="preserve"> </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rPr>
        <w:t xml:space="preserve">l </w:t>
      </w:r>
      <w:r>
        <w:rPr>
          <w:rFonts w:ascii="Times New Roman" w:eastAsia="Times New Roman" w:hAnsi="Times New Roman" w:cs="Times New Roman"/>
          <w:spacing w:val="-1"/>
        </w:rPr>
        <w:t>o</w:t>
      </w:r>
      <w:r>
        <w:rPr>
          <w:rFonts w:ascii="Times New Roman" w:eastAsia="Times New Roman" w:hAnsi="Times New Roman" w:cs="Times New Roman"/>
        </w:rPr>
        <w:t>utco</w:t>
      </w:r>
      <w:r>
        <w:rPr>
          <w:rFonts w:ascii="Times New Roman" w:eastAsia="Times New Roman" w:hAnsi="Times New Roman" w:cs="Times New Roman"/>
          <w:spacing w:val="-2"/>
        </w:rPr>
        <w:t>m</w:t>
      </w:r>
      <w:r>
        <w:rPr>
          <w:rFonts w:ascii="Times New Roman" w:eastAsia="Times New Roman" w:hAnsi="Times New Roman" w:cs="Times New Roman"/>
        </w:rPr>
        <w:t>es and results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1"/>
        </w:rPr>
        <w:t>u</w:t>
      </w:r>
      <w:r>
        <w:rPr>
          <w:rFonts w:ascii="Times New Roman" w:eastAsia="Times New Roman" w:hAnsi="Times New Roman" w:cs="Times New Roman"/>
        </w:rPr>
        <w:t>ld</w:t>
      </w:r>
      <w:r>
        <w:rPr>
          <w:rFonts w:ascii="Times New Roman" w:eastAsia="Times New Roman" w:hAnsi="Times New Roman" w:cs="Times New Roman"/>
          <w:spacing w:val="-1"/>
        </w:rPr>
        <w:t xml:space="preserve"> </w:t>
      </w:r>
      <w:r>
        <w:rPr>
          <w:rFonts w:ascii="Times New Roman" w:eastAsia="Times New Roman" w:hAnsi="Times New Roman" w:cs="Times New Roman"/>
        </w:rPr>
        <w:t>dif</w:t>
      </w:r>
      <w:r>
        <w:rPr>
          <w:rFonts w:ascii="Times New Roman" w:eastAsia="Times New Roman" w:hAnsi="Times New Roman" w:cs="Times New Roman"/>
          <w:spacing w:val="-1"/>
        </w:rPr>
        <w:t>f</w:t>
      </w:r>
      <w:r>
        <w:rPr>
          <w:rFonts w:ascii="Times New Roman" w:eastAsia="Times New Roman" w:hAnsi="Times New Roman" w:cs="Times New Roman"/>
        </w:rPr>
        <w:t xml:space="preserve">er </w:t>
      </w:r>
      <w:r>
        <w:rPr>
          <w:rFonts w:ascii="Times New Roman" w:eastAsia="Times New Roman" w:hAnsi="Times New Roman" w:cs="Times New Roman"/>
          <w:spacing w:val="-2"/>
        </w:rPr>
        <w:t>m</w:t>
      </w:r>
      <w:r>
        <w:rPr>
          <w:rFonts w:ascii="Times New Roman" w:eastAsia="Times New Roman" w:hAnsi="Times New Roman" w:cs="Times New Roman"/>
        </w:rPr>
        <w:t>aterial</w:t>
      </w:r>
      <w:r>
        <w:rPr>
          <w:rFonts w:ascii="Times New Roman" w:eastAsia="Times New Roman" w:hAnsi="Times New Roman" w:cs="Times New Roman"/>
          <w:spacing w:val="1"/>
        </w:rPr>
        <w:t>l</w:t>
      </w:r>
      <w:r>
        <w:rPr>
          <w:rFonts w:ascii="Times New Roman" w:eastAsia="Times New Roman" w:hAnsi="Times New Roman" w:cs="Times New Roman"/>
        </w:rPr>
        <w:t>y f</w:t>
      </w:r>
      <w:r>
        <w:rPr>
          <w:rFonts w:ascii="Times New Roman" w:eastAsia="Times New Roman" w:hAnsi="Times New Roman" w:cs="Times New Roman"/>
          <w:spacing w:val="-1"/>
        </w:rPr>
        <w:t>r</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these state</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3"/>
        </w:rPr>
        <w:t xml:space="preserve"> </w:t>
      </w:r>
      <w:r>
        <w:rPr>
          <w:rFonts w:ascii="Times New Roman" w:eastAsia="Times New Roman" w:hAnsi="Times New Roman" w:cs="Times New Roman"/>
        </w:rPr>
        <w:t>due to a nu</w:t>
      </w:r>
      <w:r>
        <w:rPr>
          <w:rFonts w:ascii="Times New Roman" w:eastAsia="Times New Roman" w:hAnsi="Times New Roman" w:cs="Times New Roman"/>
          <w:spacing w:val="-2"/>
        </w:rPr>
        <w:t>m</w:t>
      </w:r>
      <w:r>
        <w:rPr>
          <w:rFonts w:ascii="Times New Roman" w:eastAsia="Times New Roman" w:hAnsi="Times New Roman" w:cs="Times New Roman"/>
        </w:rPr>
        <w:t xml:space="preserve">ber of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ors, whi</w:t>
      </w:r>
      <w:r>
        <w:rPr>
          <w:rFonts w:ascii="Times New Roman" w:eastAsia="Times New Roman" w:hAnsi="Times New Roman" w:cs="Times New Roman"/>
          <w:spacing w:val="1"/>
        </w:rPr>
        <w:t>c</w:t>
      </w:r>
      <w:r>
        <w:rPr>
          <w:rFonts w:ascii="Times New Roman" w:eastAsia="Times New Roman" w:hAnsi="Times New Roman" w:cs="Times New Roman"/>
        </w:rPr>
        <w:t>h includ</w:t>
      </w:r>
      <w:r>
        <w:rPr>
          <w:rFonts w:ascii="Times New Roman" w:eastAsia="Times New Roman" w:hAnsi="Times New Roman" w:cs="Times New Roman"/>
          <w:spacing w:val="-1"/>
        </w:rPr>
        <w:t>e</w:t>
      </w:r>
      <w:r>
        <w:rPr>
          <w:rFonts w:ascii="Times New Roman" w:eastAsia="Times New Roman" w:hAnsi="Times New Roman" w:cs="Times New Roman"/>
        </w:rPr>
        <w:t>, but are n</w:t>
      </w:r>
      <w:r>
        <w:rPr>
          <w:rFonts w:ascii="Times New Roman" w:eastAsia="Times New Roman" w:hAnsi="Times New Roman" w:cs="Times New Roman"/>
          <w:spacing w:val="-1"/>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1"/>
        </w:rPr>
        <w:t>t</w:t>
      </w:r>
      <w:r>
        <w:rPr>
          <w:rFonts w:ascii="Times New Roman" w:eastAsia="Times New Roman" w:hAnsi="Times New Roman" w:cs="Times New Roman"/>
        </w:rPr>
        <w:t xml:space="preserve">ed to, the </w:t>
      </w:r>
      <w:r>
        <w:rPr>
          <w:rFonts w:ascii="Times New Roman" w:eastAsia="Times New Roman" w:hAnsi="Times New Roman" w:cs="Times New Roman"/>
          <w:spacing w:val="1"/>
        </w:rPr>
        <w:t>r</w:t>
      </w:r>
      <w:r>
        <w:rPr>
          <w:rFonts w:ascii="Times New Roman" w:eastAsia="Times New Roman" w:hAnsi="Times New Roman" w:cs="Times New Roman"/>
        </w:rPr>
        <w:t xml:space="preserve">isk </w:t>
      </w:r>
      <w:r>
        <w:rPr>
          <w:rFonts w:ascii="Times New Roman" w:eastAsia="Times New Roman" w:hAnsi="Times New Roman" w:cs="Times New Roman"/>
          <w:spacing w:val="-1"/>
        </w:rPr>
        <w:t>f</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ors dis</w:t>
      </w:r>
      <w:r>
        <w:rPr>
          <w:rFonts w:ascii="Times New Roman" w:eastAsia="Times New Roman" w:hAnsi="Times New Roman" w:cs="Times New Roman"/>
          <w:spacing w:val="-1"/>
        </w:rPr>
        <w:t>c</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 xml:space="preserve">sed </w:t>
      </w:r>
      <w:r>
        <w:rPr>
          <w:rFonts w:ascii="Times New Roman" w:eastAsia="Times New Roman" w:hAnsi="Times New Roman" w:cs="Times New Roman"/>
          <w:spacing w:val="1"/>
        </w:rPr>
        <w:t>i</w:t>
      </w:r>
      <w:r>
        <w:rPr>
          <w:rFonts w:ascii="Times New Roman" w:eastAsia="Times New Roman" w:hAnsi="Times New Roman" w:cs="Times New Roman"/>
        </w:rPr>
        <w:t>n t</w:t>
      </w:r>
      <w:r>
        <w:rPr>
          <w:rFonts w:ascii="Times New Roman" w:eastAsia="Times New Roman" w:hAnsi="Times New Roman" w:cs="Times New Roman"/>
          <w:spacing w:val="-1"/>
        </w:rPr>
        <w:t>h</w:t>
      </w:r>
      <w:r>
        <w:rPr>
          <w:rFonts w:ascii="Times New Roman" w:eastAsia="Times New Roman" w:hAnsi="Times New Roman" w:cs="Times New Roman"/>
        </w:rPr>
        <w:t>e periodic and current repor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filed by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 C</w:t>
      </w:r>
      <w:r>
        <w:rPr>
          <w:rFonts w:ascii="Times New Roman" w:eastAsia="Times New Roman" w:hAnsi="Times New Roman" w:cs="Times New Roman"/>
          <w:spacing w:val="1"/>
        </w:rPr>
        <w:t>o</w:t>
      </w:r>
      <w:r>
        <w:rPr>
          <w:rFonts w:ascii="Times New Roman" w:eastAsia="Times New Roman" w:hAnsi="Times New Roman" w:cs="Times New Roman"/>
          <w:spacing w:val="-2"/>
        </w:rPr>
        <w:t>m</w:t>
      </w:r>
      <w:r>
        <w:rPr>
          <w:rFonts w:ascii="Times New Roman" w:eastAsia="Times New Roman" w:hAnsi="Times New Roman" w:cs="Times New Roman"/>
        </w:rPr>
        <w:t>pany with the Se</w:t>
      </w:r>
      <w:r>
        <w:rPr>
          <w:rFonts w:ascii="Times New Roman" w:eastAsia="Times New Roman" w:hAnsi="Times New Roman" w:cs="Times New Roman"/>
          <w:spacing w:val="-1"/>
        </w:rPr>
        <w:t>c</w:t>
      </w:r>
      <w:r>
        <w:rPr>
          <w:rFonts w:ascii="Times New Roman" w:eastAsia="Times New Roman" w:hAnsi="Times New Roman" w:cs="Times New Roman"/>
        </w:rPr>
        <w:t>ur</w:t>
      </w:r>
      <w:r>
        <w:rPr>
          <w:rFonts w:ascii="Times New Roman" w:eastAsia="Times New Roman" w:hAnsi="Times New Roman" w:cs="Times New Roman"/>
          <w:spacing w:val="1"/>
        </w:rPr>
        <w:t>i</w:t>
      </w:r>
      <w:r>
        <w:rPr>
          <w:rFonts w:ascii="Times New Roman" w:eastAsia="Times New Roman" w:hAnsi="Times New Roman" w:cs="Times New Roman"/>
        </w:rPr>
        <w:t>ties and Exchange C</w:t>
      </w:r>
      <w:r>
        <w:rPr>
          <w:rFonts w:ascii="Times New Roman" w:eastAsia="Times New Roman" w:hAnsi="Times New Roman" w:cs="Times New Roman"/>
          <w:spacing w:val="1"/>
        </w:rPr>
        <w:t>o</w:t>
      </w:r>
      <w:r>
        <w:rPr>
          <w:rFonts w:ascii="Times New Roman" w:eastAsia="Times New Roman" w:hAnsi="Times New Roman" w:cs="Times New Roman"/>
        </w:rPr>
        <w:t>m</w:t>
      </w:r>
      <w:r>
        <w:rPr>
          <w:rFonts w:ascii="Times New Roman" w:eastAsia="Times New Roman" w:hAnsi="Times New Roman" w:cs="Times New Roman"/>
          <w:spacing w:val="-3"/>
        </w:rPr>
        <w:t>m</w:t>
      </w:r>
      <w:r>
        <w:rPr>
          <w:rFonts w:ascii="Times New Roman" w:eastAsia="Times New Roman" w:hAnsi="Times New Roman" w:cs="Times New Roman"/>
        </w:rPr>
        <w:t>is</w:t>
      </w:r>
      <w:r>
        <w:rPr>
          <w:rFonts w:ascii="Times New Roman" w:eastAsia="Times New Roman" w:hAnsi="Times New Roman" w:cs="Times New Roman"/>
          <w:spacing w:val="1"/>
        </w:rPr>
        <w:t>s</w:t>
      </w:r>
      <w:r>
        <w:rPr>
          <w:rFonts w:ascii="Times New Roman" w:eastAsia="Times New Roman" w:hAnsi="Times New Roman" w:cs="Times New Roman"/>
        </w:rPr>
        <w:t>ion from</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spacing w:val="-2"/>
        </w:rPr>
        <w:t>m</w:t>
      </w:r>
      <w:r>
        <w:rPr>
          <w:rFonts w:ascii="Times New Roman" w:eastAsia="Times New Roman" w:hAnsi="Times New Roman" w:cs="Times New Roman"/>
        </w:rPr>
        <w:t>e to t</w:t>
      </w:r>
      <w:r>
        <w:rPr>
          <w:rFonts w:ascii="Times New Roman" w:eastAsia="Times New Roman" w:hAnsi="Times New Roman" w:cs="Times New Roman"/>
          <w:spacing w:val="1"/>
        </w:rPr>
        <w:t>i</w:t>
      </w:r>
      <w:r>
        <w:rPr>
          <w:rFonts w:ascii="Times New Roman" w:eastAsia="Times New Roman" w:hAnsi="Times New Roman" w:cs="Times New Roman"/>
          <w:spacing w:val="-2"/>
        </w:rPr>
        <w:t>m</w:t>
      </w:r>
      <w:r>
        <w:rPr>
          <w:rFonts w:ascii="Times New Roman" w:eastAsia="Times New Roman" w:hAnsi="Times New Roman" w:cs="Times New Roman"/>
        </w:rPr>
        <w:t>e, including the Company’s Quarterly Report on Form 10-Q for the quarter ended September 30, 2017. Readers 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cauti</w:t>
      </w:r>
      <w:r>
        <w:rPr>
          <w:rFonts w:ascii="Times New Roman" w:eastAsia="Times New Roman" w:hAnsi="Times New Roman" w:cs="Times New Roman"/>
          <w:spacing w:val="-1"/>
        </w:rPr>
        <w:t>o</w:t>
      </w:r>
      <w:r>
        <w:rPr>
          <w:rFonts w:ascii="Times New Roman" w:eastAsia="Times New Roman" w:hAnsi="Times New Roman" w:cs="Times New Roman"/>
        </w:rPr>
        <w:t xml:space="preserve">ned not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p</w:t>
      </w:r>
      <w:r>
        <w:rPr>
          <w:rFonts w:ascii="Times New Roman" w:eastAsia="Times New Roman" w:hAnsi="Times New Roman" w:cs="Times New Roman"/>
        </w:rPr>
        <w:t>lace undue r</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rPr>
        <w:t>ance on these forward-look</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s</w:t>
      </w:r>
      <w:r>
        <w:rPr>
          <w:rFonts w:ascii="Times New Roman" w:eastAsia="Times New Roman" w:hAnsi="Times New Roman" w:cs="Times New Roman"/>
        </w:rPr>
        <w:t>tate</w:t>
      </w:r>
      <w:r>
        <w:rPr>
          <w:rFonts w:ascii="Times New Roman" w:eastAsia="Times New Roman" w:hAnsi="Times New Roman" w:cs="Times New Roman"/>
          <w:spacing w:val="-2"/>
        </w:rPr>
        <w:t>m</w:t>
      </w:r>
      <w:r>
        <w:rPr>
          <w:rFonts w:ascii="Times New Roman" w:eastAsia="Times New Roman" w:hAnsi="Times New Roman" w:cs="Times New Roman"/>
        </w:rPr>
        <w:t xml:space="preserve">ents, which speak </w:t>
      </w:r>
      <w:r>
        <w:rPr>
          <w:rFonts w:ascii="Times New Roman" w:eastAsia="Times New Roman" w:hAnsi="Times New Roman" w:cs="Times New Roman"/>
          <w:spacing w:val="-1"/>
        </w:rPr>
        <w:t>o</w:t>
      </w:r>
      <w:r>
        <w:rPr>
          <w:rFonts w:ascii="Times New Roman" w:eastAsia="Times New Roman" w:hAnsi="Times New Roman" w:cs="Times New Roman"/>
        </w:rPr>
        <w:t>nly as of the</w:t>
      </w:r>
      <w:r>
        <w:rPr>
          <w:rFonts w:ascii="Times New Roman" w:eastAsia="Times New Roman" w:hAnsi="Times New Roman" w:cs="Times New Roman"/>
          <w:spacing w:val="-1"/>
        </w:rPr>
        <w:t xml:space="preserve"> </w:t>
      </w:r>
      <w:r>
        <w:rPr>
          <w:rFonts w:ascii="Times New Roman" w:eastAsia="Times New Roman" w:hAnsi="Times New Roman" w:cs="Times New Roman"/>
        </w:rPr>
        <w:t>date hereo</w:t>
      </w:r>
      <w:r>
        <w:rPr>
          <w:rFonts w:ascii="Times New Roman" w:eastAsia="Times New Roman" w:hAnsi="Times New Roman" w:cs="Times New Roman"/>
          <w:spacing w:val="1"/>
        </w:rPr>
        <w:t>f</w:t>
      </w:r>
      <w:r>
        <w:rPr>
          <w:rFonts w:ascii="Times New Roman" w:eastAsia="Times New Roman" w:hAnsi="Times New Roman" w:cs="Times New Roman"/>
        </w:rPr>
        <w:t>.  The Co</w:t>
      </w:r>
      <w:r>
        <w:rPr>
          <w:rFonts w:ascii="Times New Roman" w:eastAsia="Times New Roman" w:hAnsi="Times New Roman" w:cs="Times New Roman"/>
          <w:spacing w:val="-1"/>
        </w:rPr>
        <w:t>m</w:t>
      </w:r>
      <w:r>
        <w:rPr>
          <w:rFonts w:ascii="Times New Roman" w:eastAsia="Times New Roman" w:hAnsi="Times New Roman" w:cs="Times New Roman"/>
          <w:spacing w:val="1"/>
        </w:rPr>
        <w:t>p</w:t>
      </w:r>
      <w:r>
        <w:rPr>
          <w:rFonts w:ascii="Times New Roman" w:eastAsia="Times New Roman" w:hAnsi="Times New Roman" w:cs="Times New Roman"/>
        </w:rPr>
        <w:t>any assu</w:t>
      </w:r>
      <w:r>
        <w:rPr>
          <w:rFonts w:ascii="Times New Roman" w:eastAsia="Times New Roman" w:hAnsi="Times New Roman" w:cs="Times New Roman"/>
          <w:spacing w:val="-2"/>
        </w:rPr>
        <w:t>m</w:t>
      </w:r>
      <w:r>
        <w:rPr>
          <w:rFonts w:ascii="Times New Roman" w:eastAsia="Times New Roman" w:hAnsi="Times New Roman" w:cs="Times New Roman"/>
        </w:rPr>
        <w:t>es no</w:t>
      </w:r>
      <w:r>
        <w:rPr>
          <w:rFonts w:ascii="Times New Roman" w:eastAsia="Times New Roman" w:hAnsi="Times New Roman" w:cs="Times New Roman"/>
          <w:spacing w:val="1"/>
        </w:rPr>
        <w:t xml:space="preserve"> </w:t>
      </w:r>
      <w:r>
        <w:rPr>
          <w:rFonts w:ascii="Times New Roman" w:eastAsia="Times New Roman" w:hAnsi="Times New Roman" w:cs="Times New Roman"/>
        </w:rPr>
        <w:t>obl</w:t>
      </w:r>
      <w:r>
        <w:rPr>
          <w:rFonts w:ascii="Times New Roman" w:eastAsia="Times New Roman" w:hAnsi="Times New Roman" w:cs="Times New Roman"/>
          <w:spacing w:val="1"/>
        </w:rPr>
        <w:t>i</w:t>
      </w:r>
      <w:r>
        <w:rPr>
          <w:rFonts w:ascii="Times New Roman" w:eastAsia="Times New Roman" w:hAnsi="Times New Roman" w:cs="Times New Roman"/>
        </w:rPr>
        <w:t>g</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rPr>
        <w:t>on to update t</w:t>
      </w:r>
      <w:r>
        <w:rPr>
          <w:rFonts w:ascii="Times New Roman" w:eastAsia="Times New Roman" w:hAnsi="Times New Roman" w:cs="Times New Roman"/>
          <w:spacing w:val="-1"/>
        </w:rPr>
        <w:t>h</w:t>
      </w:r>
      <w:r>
        <w:rPr>
          <w:rFonts w:ascii="Times New Roman" w:eastAsia="Times New Roman" w:hAnsi="Times New Roman" w:cs="Times New Roman"/>
        </w:rPr>
        <w:t xml:space="preserve">ese </w:t>
      </w:r>
      <w:r>
        <w:rPr>
          <w:rFonts w:ascii="Times New Roman" w:eastAsia="Times New Roman" w:hAnsi="Times New Roman" w:cs="Times New Roman"/>
          <w:spacing w:val="-1"/>
        </w:rPr>
        <w:t>f</w:t>
      </w:r>
      <w:r>
        <w:rPr>
          <w:rFonts w:ascii="Times New Roman" w:eastAsia="Times New Roman" w:hAnsi="Times New Roman" w:cs="Times New Roman"/>
        </w:rPr>
        <w:t>orwar</w:t>
      </w:r>
      <w:r>
        <w:rPr>
          <w:rFonts w:ascii="Times New Roman" w:eastAsia="Times New Roman" w:hAnsi="Times New Roman" w:cs="Times New Roman"/>
          <w:spacing w:val="2"/>
        </w:rPr>
        <w:t>d</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rPr>
        <w:t>oking stat</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rPr>
        <w:t xml:space="preserve">ents, except as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1"/>
        </w:rPr>
        <w:t>u</w:t>
      </w:r>
      <w:r>
        <w:rPr>
          <w:rFonts w:ascii="Times New Roman" w:eastAsia="Times New Roman" w:hAnsi="Times New Roman" w:cs="Times New Roman"/>
        </w:rPr>
        <w:t>ir</w:t>
      </w:r>
      <w:r>
        <w:rPr>
          <w:rFonts w:ascii="Times New Roman" w:eastAsia="Times New Roman" w:hAnsi="Times New Roman" w:cs="Times New Roman"/>
          <w:spacing w:val="-1"/>
        </w:rPr>
        <w:t>e</w:t>
      </w:r>
      <w:r>
        <w:rPr>
          <w:rFonts w:ascii="Times New Roman" w:eastAsia="Times New Roman" w:hAnsi="Times New Roman" w:cs="Times New Roman"/>
        </w:rPr>
        <w:t>d by law.</w:t>
      </w:r>
    </w:p>
    <w:p w14:paraId="611F6AC7" w14:textId="77777777" w:rsidR="00E9097F" w:rsidRDefault="00096132">
      <w:pPr>
        <w:spacing w:after="0" w:line="240" w:lineRule="auto"/>
        <w:jc w:val="both"/>
        <w:rPr>
          <w:rFonts w:ascii="Times New Roman" w:eastAsia="Times New Roman" w:hAnsi="Times New Roman" w:cs="Times New Roman"/>
        </w:rPr>
      </w:pPr>
    </w:p>
    <w:p w14:paraId="0D503361" w14:textId="77777777" w:rsidR="00E9097F" w:rsidRDefault="00395E48">
      <w:pPr>
        <w:spacing w:after="0" w:line="240" w:lineRule="auto"/>
        <w:ind w:right="-20"/>
        <w:rPr>
          <w:rFonts w:ascii="Times New Roman" w:eastAsia="Times New Roman" w:hAnsi="Times New Roman" w:cs="Times New Roman"/>
          <w:b/>
          <w:bCs/>
        </w:rPr>
      </w:pPr>
      <w:r>
        <w:rPr>
          <w:rFonts w:ascii="Times New Roman" w:eastAsia="Times New Roman" w:hAnsi="Times New Roman" w:cs="Times New Roman"/>
          <w:b/>
          <w:bCs/>
        </w:rPr>
        <w:t>Con</w:t>
      </w:r>
      <w:r>
        <w:rPr>
          <w:rFonts w:ascii="Times New Roman" w:eastAsia="Times New Roman" w:hAnsi="Times New Roman" w:cs="Times New Roman"/>
          <w:b/>
          <w:bCs/>
          <w:spacing w:val="-1"/>
        </w:rPr>
        <w:t>t</w:t>
      </w:r>
      <w:r>
        <w:rPr>
          <w:rFonts w:ascii="Times New Roman" w:eastAsia="Times New Roman" w:hAnsi="Times New Roman" w:cs="Times New Roman"/>
          <w:b/>
          <w:bCs/>
        </w:rPr>
        <w:t>acts</w:t>
      </w:r>
    </w:p>
    <w:p w14:paraId="58CFD6F8" w14:textId="77777777" w:rsidR="00E9097F" w:rsidRDefault="00096132">
      <w:pPr>
        <w:spacing w:after="0" w:line="240" w:lineRule="auto"/>
        <w:ind w:right="-20"/>
        <w:rPr>
          <w:rFonts w:ascii="Times New Roman" w:eastAsia="Times New Roman" w:hAnsi="Times New Roman" w:cs="Times New Roman"/>
          <w:b/>
          <w:bCs/>
        </w:rPr>
      </w:pPr>
    </w:p>
    <w:p w14:paraId="3876D3EB" w14:textId="77777777" w:rsidR="00E9097F" w:rsidRDefault="00395E48">
      <w:pPr>
        <w:spacing w:after="0" w:line="240" w:lineRule="auto"/>
        <w:ind w:right="1085"/>
        <w:rPr>
          <w:rFonts w:ascii="Times New Roman" w:eastAsia="Times New Roman" w:hAnsi="Times New Roman" w:cs="Times New Roman"/>
        </w:rPr>
      </w:pPr>
      <w:r>
        <w:rPr>
          <w:rFonts w:ascii="Times New Roman" w:eastAsia="Times New Roman" w:hAnsi="Times New Roman" w:cs="Times New Roman"/>
        </w:rPr>
        <w:t>Alan H.</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e</w:t>
      </w:r>
      <w:r>
        <w:rPr>
          <w:rFonts w:ascii="Times New Roman" w:eastAsia="Times New Roman" w:hAnsi="Times New Roman" w:cs="Times New Roman"/>
        </w:rPr>
        <w:t>rbach or M</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nn Ohanes</w:t>
      </w:r>
      <w:r>
        <w:rPr>
          <w:rFonts w:ascii="Times New Roman" w:eastAsia="Times New Roman" w:hAnsi="Times New Roman" w:cs="Times New Roman"/>
          <w:spacing w:val="-1"/>
        </w:rPr>
        <w:t>i</w:t>
      </w:r>
      <w:r>
        <w:rPr>
          <w:rFonts w:ascii="Times New Roman" w:eastAsia="Times New Roman" w:hAnsi="Times New Roman" w:cs="Times New Roman"/>
        </w:rPr>
        <w:t>an, Pu</w:t>
      </w:r>
      <w:r>
        <w:rPr>
          <w:rFonts w:ascii="Times New Roman" w:eastAsia="Times New Roman" w:hAnsi="Times New Roman" w:cs="Times New Roman"/>
          <w:spacing w:val="-2"/>
        </w:rPr>
        <w:t>m</w:t>
      </w:r>
      <w:r>
        <w:rPr>
          <w:rFonts w:ascii="Times New Roman" w:eastAsia="Times New Roman" w:hAnsi="Times New Roman" w:cs="Times New Roman"/>
        </w:rPr>
        <w:t>a B</w:t>
      </w:r>
      <w:r>
        <w:rPr>
          <w:rFonts w:ascii="Times New Roman" w:eastAsia="Times New Roman" w:hAnsi="Times New Roman" w:cs="Times New Roman"/>
          <w:spacing w:val="-1"/>
        </w:rPr>
        <w:t>i</w:t>
      </w:r>
      <w:r>
        <w:rPr>
          <w:rFonts w:ascii="Times New Roman" w:eastAsia="Times New Roman" w:hAnsi="Times New Roman" w:cs="Times New Roman"/>
        </w:rPr>
        <w:t>ot</w:t>
      </w:r>
      <w:r>
        <w:rPr>
          <w:rFonts w:ascii="Times New Roman" w:eastAsia="Times New Roman" w:hAnsi="Times New Roman" w:cs="Times New Roman"/>
          <w:spacing w:val="-1"/>
        </w:rPr>
        <w:t>e</w:t>
      </w:r>
      <w:r>
        <w:rPr>
          <w:rFonts w:ascii="Times New Roman" w:eastAsia="Times New Roman" w:hAnsi="Times New Roman" w:cs="Times New Roman"/>
        </w:rPr>
        <w:t>chno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g</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Inc., +1 424</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248 6500 </w:t>
      </w:r>
    </w:p>
    <w:p w14:paraId="41ACA075" w14:textId="77777777" w:rsidR="00E9097F" w:rsidRDefault="00395E48">
      <w:pPr>
        <w:spacing w:after="0" w:line="240" w:lineRule="auto"/>
        <w:ind w:right="1085"/>
        <w:rPr>
          <w:rFonts w:ascii="Times New Roman" w:eastAsia="Times New Roman" w:hAnsi="Times New Roman" w:cs="Times New Roman"/>
        </w:rPr>
      </w:pPr>
      <w:r>
        <w:rPr>
          <w:rFonts w:ascii="Times New Roman" w:eastAsia="Times New Roman" w:hAnsi="Times New Roman" w:cs="Times New Roman"/>
          <w:color w:val="0000FF"/>
        </w:rPr>
        <w:t>info@pu</w:t>
      </w:r>
      <w:r>
        <w:rPr>
          <w:rFonts w:ascii="Times New Roman" w:eastAsia="Times New Roman" w:hAnsi="Times New Roman" w:cs="Times New Roman"/>
          <w:color w:val="0000FF"/>
          <w:spacing w:val="-2"/>
        </w:rPr>
        <w:t>m</w:t>
      </w:r>
      <w:r>
        <w:rPr>
          <w:rFonts w:ascii="Times New Roman" w:eastAsia="Times New Roman" w:hAnsi="Times New Roman" w:cs="Times New Roman"/>
          <w:color w:val="0000FF"/>
        </w:rPr>
        <w:t>ab</w:t>
      </w:r>
      <w:r>
        <w:rPr>
          <w:rFonts w:ascii="Times New Roman" w:eastAsia="Times New Roman" w:hAnsi="Times New Roman" w:cs="Times New Roman"/>
          <w:color w:val="0000FF"/>
          <w:spacing w:val="-1"/>
        </w:rPr>
        <w:t>i</w:t>
      </w:r>
      <w:r>
        <w:rPr>
          <w:rFonts w:ascii="Times New Roman" w:eastAsia="Times New Roman" w:hAnsi="Times New Roman" w:cs="Times New Roman"/>
          <w:color w:val="0000FF"/>
        </w:rPr>
        <w:t>ot</w:t>
      </w:r>
      <w:r>
        <w:rPr>
          <w:rFonts w:ascii="Times New Roman" w:eastAsia="Times New Roman" w:hAnsi="Times New Roman" w:cs="Times New Roman"/>
          <w:color w:val="0000FF"/>
          <w:spacing w:val="-1"/>
        </w:rPr>
        <w:t>e</w:t>
      </w:r>
      <w:r>
        <w:rPr>
          <w:rFonts w:ascii="Times New Roman" w:eastAsia="Times New Roman" w:hAnsi="Times New Roman" w:cs="Times New Roman"/>
          <w:color w:val="0000FF"/>
        </w:rPr>
        <w:t>chno</w:t>
      </w:r>
      <w:r>
        <w:rPr>
          <w:rFonts w:ascii="Times New Roman" w:eastAsia="Times New Roman" w:hAnsi="Times New Roman" w:cs="Times New Roman"/>
          <w:color w:val="0000FF"/>
          <w:spacing w:val="-1"/>
        </w:rPr>
        <w:t>l</w:t>
      </w:r>
      <w:r>
        <w:rPr>
          <w:rFonts w:ascii="Times New Roman" w:eastAsia="Times New Roman" w:hAnsi="Times New Roman" w:cs="Times New Roman"/>
          <w:color w:val="0000FF"/>
        </w:rPr>
        <w:t>ogy.com</w:t>
      </w:r>
    </w:p>
    <w:p w14:paraId="16948A4A" w14:textId="77777777" w:rsidR="00E9097F" w:rsidRDefault="00096132">
      <w:pPr>
        <w:spacing w:after="0" w:line="240" w:lineRule="auto"/>
        <w:ind w:right="-20"/>
        <w:rPr>
          <w:rFonts w:ascii="Times New Roman" w:eastAsia="Times New Roman" w:hAnsi="Times New Roman" w:cs="Times New Roman"/>
          <w:color w:val="0000FF"/>
          <w:position w:val="-1"/>
        </w:rPr>
      </w:pPr>
      <w:hyperlink r:id="rId9" w:history="1">
        <w:r w:rsidR="00395E48">
          <w:rPr>
            <w:rStyle w:val="Hyperlink"/>
            <w:rFonts w:ascii="Times New Roman" w:eastAsia="Times New Roman" w:hAnsi="Times New Roman" w:cs="Times New Roman"/>
            <w:position w:val="-1"/>
            <w:u w:val="none"/>
          </w:rPr>
          <w:t>ir@pu</w:t>
        </w:r>
        <w:r w:rsidR="00395E48">
          <w:rPr>
            <w:rStyle w:val="Hyperlink"/>
            <w:rFonts w:ascii="Times New Roman" w:eastAsia="Times New Roman" w:hAnsi="Times New Roman" w:cs="Times New Roman"/>
            <w:spacing w:val="-2"/>
            <w:position w:val="-1"/>
            <w:u w:val="none"/>
          </w:rPr>
          <w:t>m</w:t>
        </w:r>
        <w:r w:rsidR="00395E48">
          <w:rPr>
            <w:rStyle w:val="Hyperlink"/>
            <w:rFonts w:ascii="Times New Roman" w:eastAsia="Times New Roman" w:hAnsi="Times New Roman" w:cs="Times New Roman"/>
            <w:position w:val="-1"/>
            <w:u w:val="none"/>
          </w:rPr>
          <w:t>ab</w:t>
        </w:r>
        <w:r w:rsidR="00395E48">
          <w:rPr>
            <w:rStyle w:val="Hyperlink"/>
            <w:rFonts w:ascii="Times New Roman" w:eastAsia="Times New Roman" w:hAnsi="Times New Roman" w:cs="Times New Roman"/>
            <w:spacing w:val="-1"/>
            <w:position w:val="-1"/>
            <w:u w:val="none"/>
          </w:rPr>
          <w:t>i</w:t>
        </w:r>
        <w:r w:rsidR="00395E48">
          <w:rPr>
            <w:rStyle w:val="Hyperlink"/>
            <w:rFonts w:ascii="Times New Roman" w:eastAsia="Times New Roman" w:hAnsi="Times New Roman" w:cs="Times New Roman"/>
            <w:position w:val="-1"/>
            <w:u w:val="none"/>
          </w:rPr>
          <w:t>otechno</w:t>
        </w:r>
        <w:r w:rsidR="00395E48">
          <w:rPr>
            <w:rStyle w:val="Hyperlink"/>
            <w:rFonts w:ascii="Times New Roman" w:eastAsia="Times New Roman" w:hAnsi="Times New Roman" w:cs="Times New Roman"/>
            <w:spacing w:val="-1"/>
            <w:position w:val="-1"/>
            <w:u w:val="none"/>
          </w:rPr>
          <w:t>l</w:t>
        </w:r>
        <w:r w:rsidR="00395E48">
          <w:rPr>
            <w:rStyle w:val="Hyperlink"/>
            <w:rFonts w:ascii="Times New Roman" w:eastAsia="Times New Roman" w:hAnsi="Times New Roman" w:cs="Times New Roman"/>
            <w:position w:val="-1"/>
            <w:u w:val="none"/>
          </w:rPr>
          <w:t>o</w:t>
        </w:r>
        <w:r w:rsidR="00395E48">
          <w:rPr>
            <w:rStyle w:val="Hyperlink"/>
            <w:rFonts w:ascii="Times New Roman" w:eastAsia="Times New Roman" w:hAnsi="Times New Roman" w:cs="Times New Roman"/>
            <w:spacing w:val="-1"/>
            <w:position w:val="-1"/>
            <w:u w:val="none"/>
          </w:rPr>
          <w:t>g</w:t>
        </w:r>
        <w:r w:rsidR="00395E48">
          <w:rPr>
            <w:rStyle w:val="Hyperlink"/>
            <w:rFonts w:ascii="Times New Roman" w:eastAsia="Times New Roman" w:hAnsi="Times New Roman" w:cs="Times New Roman"/>
            <w:spacing w:val="1"/>
            <w:position w:val="-1"/>
            <w:u w:val="none"/>
          </w:rPr>
          <w:t>y</w:t>
        </w:r>
        <w:r w:rsidR="00395E48">
          <w:rPr>
            <w:rStyle w:val="Hyperlink"/>
            <w:rFonts w:ascii="Times New Roman" w:eastAsia="Times New Roman" w:hAnsi="Times New Roman" w:cs="Times New Roman"/>
            <w:position w:val="-1"/>
            <w:u w:val="none"/>
          </w:rPr>
          <w:t>.</w:t>
        </w:r>
        <w:r w:rsidR="00395E48">
          <w:rPr>
            <w:rStyle w:val="Hyperlink"/>
            <w:rFonts w:ascii="Times New Roman" w:eastAsia="Times New Roman" w:hAnsi="Times New Roman" w:cs="Times New Roman"/>
            <w:spacing w:val="-2"/>
            <w:position w:val="-1"/>
            <w:u w:val="none"/>
          </w:rPr>
          <w:t>c</w:t>
        </w:r>
        <w:r w:rsidR="00395E48">
          <w:rPr>
            <w:rStyle w:val="Hyperlink"/>
            <w:rFonts w:ascii="Times New Roman" w:eastAsia="Times New Roman" w:hAnsi="Times New Roman" w:cs="Times New Roman"/>
            <w:position w:val="-1"/>
            <w:u w:val="none"/>
          </w:rPr>
          <w:t>om</w:t>
        </w:r>
      </w:hyperlink>
    </w:p>
    <w:p w14:paraId="5B89EDEE" w14:textId="77777777" w:rsidR="00E9097F" w:rsidRDefault="00096132">
      <w:pPr>
        <w:spacing w:after="0" w:line="240" w:lineRule="auto"/>
        <w:ind w:right="-20"/>
        <w:rPr>
          <w:rFonts w:ascii="Times New Roman" w:eastAsia="Times New Roman" w:hAnsi="Times New Roman" w:cs="Times New Roman"/>
        </w:rPr>
      </w:pPr>
    </w:p>
    <w:p w14:paraId="5579B460" w14:textId="77777777" w:rsidR="00E9097F" w:rsidRDefault="00395E48">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David </w:t>
      </w:r>
      <w:r>
        <w:rPr>
          <w:rFonts w:ascii="Times New Roman" w:eastAsia="Times New Roman" w:hAnsi="Times New Roman" w:cs="Times New Roman"/>
          <w:spacing w:val="-1"/>
        </w:rPr>
        <w:t>S</w:t>
      </w:r>
      <w:r>
        <w:rPr>
          <w:rFonts w:ascii="Times New Roman" w:eastAsia="Times New Roman" w:hAnsi="Times New Roman" w:cs="Times New Roman"/>
        </w:rPr>
        <w:t>chu</w:t>
      </w:r>
      <w:r>
        <w:rPr>
          <w:rFonts w:ascii="Times New Roman" w:eastAsia="Times New Roman" w:hAnsi="Times New Roman" w:cs="Times New Roman"/>
          <w:spacing w:val="-1"/>
        </w:rPr>
        <w:t>l</w:t>
      </w:r>
      <w:r>
        <w:rPr>
          <w:rFonts w:ascii="Times New Roman" w:eastAsia="Times New Roman" w:hAnsi="Times New Roman" w:cs="Times New Roman"/>
        </w:rPr>
        <w:t>l or Amiad Finkelthal, Russo</w:t>
      </w:r>
      <w:r>
        <w:rPr>
          <w:rFonts w:ascii="Times New Roman" w:eastAsia="Times New Roman" w:hAnsi="Times New Roman" w:cs="Times New Roman"/>
          <w:spacing w:val="-1"/>
        </w:rPr>
        <w:t xml:space="preserve"> </w:t>
      </w:r>
      <w:r>
        <w:rPr>
          <w:rFonts w:ascii="Times New Roman" w:eastAsia="Times New Roman" w:hAnsi="Times New Roman" w:cs="Times New Roman"/>
        </w:rPr>
        <w:t>Partners, +1</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212 845 </w:t>
      </w:r>
      <w:r>
        <w:rPr>
          <w:rFonts w:ascii="Times New Roman" w:eastAsia="Times New Roman" w:hAnsi="Times New Roman" w:cs="Times New Roman"/>
          <w:spacing w:val="-1"/>
        </w:rPr>
        <w:t>4</w:t>
      </w:r>
      <w:r>
        <w:rPr>
          <w:rFonts w:ascii="Times New Roman" w:eastAsia="Times New Roman" w:hAnsi="Times New Roman" w:cs="Times New Roman"/>
        </w:rPr>
        <w:t>2</w:t>
      </w:r>
      <w:r>
        <w:rPr>
          <w:rFonts w:ascii="Times New Roman" w:eastAsia="Times New Roman" w:hAnsi="Times New Roman" w:cs="Times New Roman"/>
          <w:spacing w:val="-1"/>
        </w:rPr>
        <w:t>00</w:t>
      </w:r>
    </w:p>
    <w:p w14:paraId="3909BCD0" w14:textId="77777777" w:rsidR="00E9097F" w:rsidRDefault="00096132">
      <w:pPr>
        <w:spacing w:after="0" w:line="240" w:lineRule="auto"/>
        <w:ind w:right="-20"/>
        <w:rPr>
          <w:rFonts w:ascii="Times New Roman" w:eastAsia="Times New Roman" w:hAnsi="Times New Roman" w:cs="Times New Roman"/>
          <w:color w:val="0000FF"/>
        </w:rPr>
      </w:pPr>
      <w:hyperlink r:id="rId10" w:history="1">
        <w:r w:rsidR="00395E48">
          <w:rPr>
            <w:rStyle w:val="Hyperlink"/>
            <w:rFonts w:ascii="Times New Roman" w:eastAsia="Times New Roman" w:hAnsi="Times New Roman" w:cs="Times New Roman"/>
            <w:u w:val="none"/>
          </w:rPr>
          <w:t>dav</w:t>
        </w:r>
        <w:r w:rsidR="00395E48">
          <w:rPr>
            <w:rStyle w:val="Hyperlink"/>
            <w:rFonts w:ascii="Times New Roman" w:eastAsia="Times New Roman" w:hAnsi="Times New Roman" w:cs="Times New Roman"/>
            <w:spacing w:val="-1"/>
            <w:u w:val="none"/>
          </w:rPr>
          <w:t>i</w:t>
        </w:r>
        <w:r w:rsidR="00395E48">
          <w:rPr>
            <w:rStyle w:val="Hyperlink"/>
            <w:rFonts w:ascii="Times New Roman" w:eastAsia="Times New Roman" w:hAnsi="Times New Roman" w:cs="Times New Roman"/>
            <w:u w:val="none"/>
          </w:rPr>
          <w:t>d.schul</w:t>
        </w:r>
        <w:r w:rsidR="00395E48">
          <w:rPr>
            <w:rStyle w:val="Hyperlink"/>
            <w:rFonts w:ascii="Times New Roman" w:eastAsia="Times New Roman" w:hAnsi="Times New Roman" w:cs="Times New Roman"/>
            <w:spacing w:val="-1"/>
            <w:u w:val="none"/>
          </w:rPr>
          <w:t>l</w:t>
        </w:r>
        <w:r w:rsidR="00395E48">
          <w:rPr>
            <w:rStyle w:val="Hyperlink"/>
            <w:rFonts w:ascii="Times New Roman" w:eastAsia="Times New Roman" w:hAnsi="Times New Roman" w:cs="Times New Roman"/>
            <w:u w:val="none"/>
          </w:rPr>
          <w:t>@russopar</w:t>
        </w:r>
        <w:r w:rsidR="00395E48">
          <w:rPr>
            <w:rStyle w:val="Hyperlink"/>
            <w:rFonts w:ascii="Times New Roman" w:eastAsia="Times New Roman" w:hAnsi="Times New Roman" w:cs="Times New Roman"/>
            <w:spacing w:val="-1"/>
            <w:u w:val="none"/>
          </w:rPr>
          <w:t>tn</w:t>
        </w:r>
        <w:r w:rsidR="00395E48">
          <w:rPr>
            <w:rStyle w:val="Hyperlink"/>
            <w:rFonts w:ascii="Times New Roman" w:eastAsia="Times New Roman" w:hAnsi="Times New Roman" w:cs="Times New Roman"/>
            <w:u w:val="none"/>
          </w:rPr>
          <w:t>ersl</w:t>
        </w:r>
        <w:r w:rsidR="00395E48">
          <w:rPr>
            <w:rStyle w:val="Hyperlink"/>
            <w:rFonts w:ascii="Times New Roman" w:eastAsia="Times New Roman" w:hAnsi="Times New Roman" w:cs="Times New Roman"/>
            <w:spacing w:val="-1"/>
            <w:u w:val="none"/>
          </w:rPr>
          <w:t>l</w:t>
        </w:r>
        <w:r w:rsidR="00395E48">
          <w:rPr>
            <w:rStyle w:val="Hyperlink"/>
            <w:rFonts w:ascii="Times New Roman" w:eastAsia="Times New Roman" w:hAnsi="Times New Roman" w:cs="Times New Roman"/>
            <w:u w:val="none"/>
          </w:rPr>
          <w:t>c.com</w:t>
        </w:r>
      </w:hyperlink>
    </w:p>
    <w:p w14:paraId="459D4DA8" w14:textId="77777777" w:rsidR="00E9097F" w:rsidRDefault="00395E48">
      <w:pPr>
        <w:spacing w:after="0" w:line="240" w:lineRule="auto"/>
        <w:ind w:right="-20"/>
        <w:rPr>
          <w:rFonts w:ascii="Times New Roman" w:eastAsia="Times New Roman" w:hAnsi="Times New Roman" w:cs="Times New Roman"/>
          <w:color w:val="0000FF"/>
        </w:rPr>
      </w:pPr>
      <w:r>
        <w:rPr>
          <w:rFonts w:ascii="Times New Roman" w:eastAsia="Times New Roman" w:hAnsi="Times New Roman" w:cs="Times New Roman"/>
          <w:color w:val="0000FF"/>
        </w:rPr>
        <w:t>amiad.finkelthal@russopartnersllc.com</w:t>
      </w:r>
    </w:p>
    <w:p w14:paraId="3EB8F48E" w14:textId="77777777" w:rsidR="00E9097F" w:rsidRDefault="00395E48">
      <w:pPr>
        <w:spacing w:after="0" w:line="240" w:lineRule="auto"/>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 # # #</w:t>
      </w:r>
      <w:bookmarkEnd w:id="0"/>
    </w:p>
    <w:p w14:paraId="588AD336" w14:textId="77777777" w:rsidR="00E9097F" w:rsidRDefault="00096132">
      <w:pPr>
        <w:spacing w:after="0" w:line="240" w:lineRule="auto"/>
        <w:ind w:right="-20"/>
        <w:jc w:val="center"/>
        <w:rPr>
          <w:rFonts w:ascii="Times New Roman" w:eastAsia="Times New Roman" w:hAnsi="Times New Roman" w:cs="Times New Roman"/>
          <w:b/>
          <w:sz w:val="20"/>
          <w:szCs w:val="20"/>
        </w:rPr>
      </w:pPr>
    </w:p>
    <w:p w14:paraId="60D5A079" w14:textId="77777777" w:rsidR="00E9097F" w:rsidRDefault="00395E48">
      <w:pPr>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i/>
        </w:rPr>
        <w:t>Financial Tables Follow</w:t>
      </w:r>
      <w:r>
        <w:rPr>
          <w:rFonts w:ascii="Times New Roman" w:eastAsia="Times New Roman" w:hAnsi="Times New Roman" w:cs="Times New Roman"/>
          <w:b/>
        </w:rPr>
        <w:t>)</w:t>
      </w:r>
    </w:p>
    <w:p w14:paraId="7E7A2456" w14:textId="77777777" w:rsidR="00D17D04" w:rsidRDefault="00096132">
      <w:pPr>
        <w:jc w:val="center"/>
      </w:pPr>
    </w:p>
    <w:p w14:paraId="2ED0E40A" w14:textId="77777777" w:rsidR="00D17D04" w:rsidRDefault="00096132">
      <w:pPr>
        <w:jc w:val="center"/>
      </w:pPr>
    </w:p>
    <w:p w14:paraId="1EC92395" w14:textId="77777777" w:rsidR="00D17D04" w:rsidRDefault="00395E48">
      <w:pPr>
        <w:jc w:val="center"/>
      </w:pPr>
      <w:r>
        <w:rPr>
          <w:noProof/>
        </w:rPr>
        <w:lastRenderedPageBreak/>
        <w:drawing>
          <wp:inline distT="0" distB="0" distL="0" distR="0" wp14:anchorId="3FFFA2B4" wp14:editId="4D119733">
            <wp:extent cx="6126480" cy="762516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6480" cy="7625162"/>
                    </a:xfrm>
                    <a:prstGeom prst="rect">
                      <a:avLst/>
                    </a:prstGeom>
                    <a:noFill/>
                    <a:ln>
                      <a:noFill/>
                    </a:ln>
                  </pic:spPr>
                </pic:pic>
              </a:graphicData>
            </a:graphic>
          </wp:inline>
        </w:drawing>
      </w:r>
    </w:p>
    <w:p w14:paraId="2566DDB4" w14:textId="77777777" w:rsidR="00A35FEF" w:rsidRDefault="00096132">
      <w:pPr>
        <w:jc w:val="center"/>
        <w:rPr>
          <w:rFonts w:ascii="Times New Roman" w:eastAsia="Times New Roman" w:hAnsi="Times New Roman" w:cs="Times New Roman"/>
          <w:b/>
        </w:rPr>
      </w:pPr>
    </w:p>
    <w:p w14:paraId="7653FC4F" w14:textId="77777777" w:rsidR="00D17D04" w:rsidRDefault="00096132">
      <w:pPr>
        <w:jc w:val="center"/>
        <w:rPr>
          <w:rFonts w:ascii="Times New Roman" w:eastAsia="Times New Roman" w:hAnsi="Times New Roman" w:cs="Times New Roman"/>
          <w:b/>
        </w:rPr>
      </w:pPr>
    </w:p>
    <w:p w14:paraId="0F034C34" w14:textId="77777777" w:rsidR="00984683" w:rsidRDefault="00096132">
      <w:pPr>
        <w:spacing w:after="0" w:line="240" w:lineRule="auto"/>
        <w:ind w:right="-20"/>
        <w:jc w:val="both"/>
        <w:rPr>
          <w:rFonts w:ascii="Times New Roman" w:eastAsia="Times New Roman" w:hAnsi="Times New Roman" w:cs="Times New Roman"/>
          <w:b/>
        </w:rPr>
        <w:sectPr w:rsidR="00984683" w:rsidSect="00984683">
          <w:pgSz w:w="12240" w:h="15840"/>
          <w:pgMar w:top="1008" w:right="1296" w:bottom="1008" w:left="1296" w:header="720" w:footer="720" w:gutter="0"/>
          <w:cols w:space="720"/>
        </w:sectPr>
      </w:pPr>
    </w:p>
    <w:p w14:paraId="0C8F10C7" w14:textId="77777777" w:rsidR="00E9097F" w:rsidRDefault="00395E48">
      <w:pPr>
        <w:spacing w:after="0" w:line="240" w:lineRule="auto"/>
        <w:ind w:right="-20"/>
        <w:jc w:val="both"/>
        <w:rPr>
          <w:rFonts w:ascii="Times New Roman" w:eastAsia="Times New Roman" w:hAnsi="Times New Roman" w:cs="Times New Roman"/>
          <w:b/>
          <w:szCs w:val="24"/>
        </w:rPr>
      </w:pPr>
      <w:r>
        <w:rPr>
          <w:rFonts w:ascii="Times New Roman" w:eastAsia="Times New Roman" w:hAnsi="Times New Roman" w:cs="Times New Roman"/>
          <w:b/>
        </w:rPr>
        <w:lastRenderedPageBreak/>
        <w:t>Non-GAAP Financial Measures</w:t>
      </w:r>
    </w:p>
    <w:p w14:paraId="67836A5F" w14:textId="77777777" w:rsidR="00E9097F" w:rsidRDefault="00096132">
      <w:pPr>
        <w:widowControl/>
        <w:spacing w:after="0" w:line="240" w:lineRule="auto"/>
        <w:jc w:val="both"/>
        <w:rPr>
          <w:rFonts w:ascii="Times New Roman" w:eastAsia="Times New Roman" w:hAnsi="Times New Roman" w:cs="Times New Roman"/>
          <w:b/>
        </w:rPr>
      </w:pPr>
    </w:p>
    <w:p w14:paraId="3794B4AD" w14:textId="77777777" w:rsidR="00E9097F" w:rsidRDefault="00395E48">
      <w:pPr>
        <w:widowControl/>
        <w:spacing w:after="0" w:line="240" w:lineRule="auto"/>
        <w:jc w:val="both"/>
        <w:rPr>
          <w:rFonts w:ascii="Times New Roman" w:eastAsia="Times New Roman" w:hAnsi="Times New Roman" w:cs="Times New Roman"/>
        </w:rPr>
      </w:pPr>
      <w:r>
        <w:rPr>
          <w:rFonts w:ascii="Times New Roman" w:hAnsi="Times New Roman" w:cs="Times New Roman"/>
        </w:rPr>
        <w:t>In addition to operating results as calculated in accordance with generally accepted accounting principles, or GAAP, the Company uses certain non-GAAP financial measures when planning, monitoring, and evaluating operational performance. The following table presents the Company’s net loss and net loss per share calculated in accordance with GAAP and as adjusted to remove the impact of employee stock-based compensation. For the three and nine months ended September 30, 2017, stock-based compensation represented approximately 34.3% and 36.5% of net loss, respectively. Although net loss is important to measure financial performance, the Company currently places an emphasis on cash burn and, more specifically, cash used in operations. Stock-based compensation appears in GAAP net loss but is removed from net loss to arrive at cash used in operations on the statement of cash flows. Due to its noncash nature, the Company believes these non-GAAP measures enhance understanding of financial performance, are more indicative of operational performance and facilitate a better comparison among fiscal periods. These non-GAAP financial measures are not, and should not be viewed as, substitutes for GAAP reporting measures.</w:t>
      </w:r>
      <w:r>
        <w:rPr>
          <w:rFonts w:ascii="Times New Roman" w:eastAsia="Times New Roman" w:hAnsi="Times New Roman" w:cs="Times New Roman"/>
        </w:rPr>
        <w:t xml:space="preserve"> </w:t>
      </w:r>
    </w:p>
    <w:p w14:paraId="5EE4157B" w14:textId="77777777" w:rsidR="00E9097F" w:rsidRDefault="00096132">
      <w:pPr>
        <w:widowControl/>
        <w:spacing w:after="0" w:line="240" w:lineRule="auto"/>
        <w:jc w:val="both"/>
        <w:rPr>
          <w:rFonts w:ascii="Times New Roman" w:eastAsia="Times New Roman" w:hAnsi="Times New Roman" w:cs="Times New Roman"/>
        </w:rPr>
      </w:pPr>
    </w:p>
    <w:p w14:paraId="6F18F835" w14:textId="77777777" w:rsidR="00D17D04" w:rsidRDefault="00395E48" w:rsidP="00D17D04">
      <w:pPr>
        <w:widowControl/>
        <w:spacing w:after="0" w:line="240" w:lineRule="auto"/>
        <w:jc w:val="center"/>
        <w:rPr>
          <w:rFonts w:ascii="Times New Roman" w:eastAsia="Times New Roman" w:hAnsi="Times New Roman" w:cs="Times New Roman"/>
        </w:rPr>
      </w:pPr>
      <w:r w:rsidRPr="00D17D04">
        <w:rPr>
          <w:noProof/>
        </w:rPr>
        <w:drawing>
          <wp:inline distT="0" distB="0" distL="0" distR="0" wp14:anchorId="36E26821" wp14:editId="26C18358">
            <wp:extent cx="5349703" cy="675476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965874" name="Picture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353009" cy="6758937"/>
                    </a:xfrm>
                    <a:prstGeom prst="rect">
                      <a:avLst/>
                    </a:prstGeom>
                    <a:noFill/>
                    <a:ln>
                      <a:noFill/>
                    </a:ln>
                  </pic:spPr>
                </pic:pic>
              </a:graphicData>
            </a:graphic>
          </wp:inline>
        </w:drawing>
      </w:r>
    </w:p>
    <w:sectPr w:rsidR="00D17D04" w:rsidSect="00984683">
      <w:pgSz w:w="12240" w:h="15840"/>
      <w:pgMar w:top="720" w:right="1296" w:bottom="57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670C9"/>
    <w:multiLevelType w:val="hybridMultilevel"/>
    <w:tmpl w:val="E4A66DF0"/>
    <w:lvl w:ilvl="0" w:tplc="4A505466">
      <w:start w:val="1"/>
      <w:numFmt w:val="bullet"/>
      <w:lvlText w:val=""/>
      <w:lvlJc w:val="left"/>
      <w:pPr>
        <w:ind w:left="720" w:hanging="360"/>
      </w:pPr>
      <w:rPr>
        <w:rFonts w:ascii="Symbol" w:hAnsi="Symbol" w:hint="default"/>
      </w:rPr>
    </w:lvl>
    <w:lvl w:ilvl="1" w:tplc="2E4EAAB6">
      <w:start w:val="1"/>
      <w:numFmt w:val="bullet"/>
      <w:lvlText w:val="o"/>
      <w:lvlJc w:val="left"/>
      <w:pPr>
        <w:ind w:left="1440" w:hanging="360"/>
      </w:pPr>
      <w:rPr>
        <w:rFonts w:ascii="Courier New" w:hAnsi="Courier New" w:cs="Courier New" w:hint="default"/>
      </w:rPr>
    </w:lvl>
    <w:lvl w:ilvl="2" w:tplc="8A846D00">
      <w:start w:val="1"/>
      <w:numFmt w:val="bullet"/>
      <w:lvlText w:val=""/>
      <w:lvlJc w:val="left"/>
      <w:pPr>
        <w:ind w:left="2160" w:hanging="360"/>
      </w:pPr>
      <w:rPr>
        <w:rFonts w:ascii="Wingdings" w:hAnsi="Wingdings" w:hint="default"/>
      </w:rPr>
    </w:lvl>
    <w:lvl w:ilvl="3" w:tplc="16F40B36">
      <w:start w:val="1"/>
      <w:numFmt w:val="bullet"/>
      <w:lvlText w:val=""/>
      <w:lvlJc w:val="left"/>
      <w:pPr>
        <w:ind w:left="2880" w:hanging="360"/>
      </w:pPr>
      <w:rPr>
        <w:rFonts w:ascii="Symbol" w:hAnsi="Symbol" w:hint="default"/>
      </w:rPr>
    </w:lvl>
    <w:lvl w:ilvl="4" w:tplc="9392F45E">
      <w:start w:val="1"/>
      <w:numFmt w:val="bullet"/>
      <w:lvlText w:val="o"/>
      <w:lvlJc w:val="left"/>
      <w:pPr>
        <w:ind w:left="3600" w:hanging="360"/>
      </w:pPr>
      <w:rPr>
        <w:rFonts w:ascii="Courier New" w:hAnsi="Courier New" w:cs="Courier New" w:hint="default"/>
      </w:rPr>
    </w:lvl>
    <w:lvl w:ilvl="5" w:tplc="655E5C76">
      <w:start w:val="1"/>
      <w:numFmt w:val="bullet"/>
      <w:lvlText w:val=""/>
      <w:lvlJc w:val="left"/>
      <w:pPr>
        <w:ind w:left="4320" w:hanging="360"/>
      </w:pPr>
      <w:rPr>
        <w:rFonts w:ascii="Wingdings" w:hAnsi="Wingdings" w:hint="default"/>
      </w:rPr>
    </w:lvl>
    <w:lvl w:ilvl="6" w:tplc="7382A8BA">
      <w:start w:val="1"/>
      <w:numFmt w:val="bullet"/>
      <w:lvlText w:val=""/>
      <w:lvlJc w:val="left"/>
      <w:pPr>
        <w:ind w:left="5040" w:hanging="360"/>
      </w:pPr>
      <w:rPr>
        <w:rFonts w:ascii="Symbol" w:hAnsi="Symbol" w:hint="default"/>
      </w:rPr>
    </w:lvl>
    <w:lvl w:ilvl="7" w:tplc="6C36B44C">
      <w:start w:val="1"/>
      <w:numFmt w:val="bullet"/>
      <w:lvlText w:val="o"/>
      <w:lvlJc w:val="left"/>
      <w:pPr>
        <w:ind w:left="5760" w:hanging="360"/>
      </w:pPr>
      <w:rPr>
        <w:rFonts w:ascii="Courier New" w:hAnsi="Courier New" w:cs="Courier New" w:hint="default"/>
      </w:rPr>
    </w:lvl>
    <w:lvl w:ilvl="8" w:tplc="5206363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proofState w:spelling="clean" w:grammar="clean"/>
  <w:trackRevisions/>
  <w:doNotTrackFormatting/>
  <w:styleLockQFSet/>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BF"/>
    <w:rsid w:val="00096132"/>
    <w:rsid w:val="001661E6"/>
    <w:rsid w:val="00395E48"/>
    <w:rsid w:val="004001E7"/>
    <w:rsid w:val="00427CBF"/>
    <w:rsid w:val="0046184F"/>
    <w:rsid w:val="00517237"/>
    <w:rsid w:val="006446E3"/>
    <w:rsid w:val="00E461DB"/>
    <w:rsid w:val="00ED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widowControl/>
      <w:spacing w:after="160" w:line="259" w:lineRule="auto"/>
      <w:ind w:left="720"/>
      <w:contextualSpacing/>
    </w:pPr>
    <w:rPr>
      <w:rFonts w:eastAsiaTheme="minorEastAsia"/>
      <w:lang w:eastAsia="zh-TW"/>
    </w:rPr>
  </w:style>
  <w:style w:type="paragraph" w:styleId="Revision">
    <w:name w:val="Revision"/>
    <w:hidden/>
    <w:uiPriority w:val="99"/>
    <w:semiHidden/>
    <w:pPr>
      <w:widowControl/>
      <w:spacing w:after="0" w:line="240" w:lineRule="auto"/>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umabiotechnology.com/" TargetMode="External"/><Relationship Id="rId7" Type="http://schemas.openxmlformats.org/officeDocument/2006/relationships/hyperlink" Target="http://www.pumabiotechnology.com" TargetMode="External"/><Relationship Id="rId8" Type="http://schemas.openxmlformats.org/officeDocument/2006/relationships/hyperlink" Target="https://nerlynx.com/pdf/full-prescribing-information.pdf" TargetMode="External"/><Relationship Id="rId9" Type="http://schemas.openxmlformats.org/officeDocument/2006/relationships/hyperlink" Target="mailto:ir@pumabiotechnology.com" TargetMode="External"/><Relationship Id="rId10" Type="http://schemas.openxmlformats.org/officeDocument/2006/relationships/hyperlink" Target="mailto:david.schull@russopartners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12187</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2017-11-09T20:08:00Z</dcterms:created>
  <dcterms:modified xsi:type="dcterms:W3CDTF">2017-11-09T20:08:00Z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{REF:0486232017}</vt:lpwstr>
  </property>
</Properties>
</file>